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7" w:type="dxa"/>
        <w:tblLayout w:type="fixed"/>
        <w:tblLook w:val="04A0" w:firstRow="1" w:lastRow="0" w:firstColumn="1" w:lastColumn="0" w:noHBand="0" w:noVBand="1"/>
      </w:tblPr>
      <w:tblGrid>
        <w:gridCol w:w="1285"/>
        <w:gridCol w:w="713"/>
        <w:gridCol w:w="900"/>
        <w:gridCol w:w="1350"/>
        <w:gridCol w:w="5935"/>
        <w:gridCol w:w="1468"/>
        <w:gridCol w:w="2586"/>
      </w:tblGrid>
      <w:tr w:rsidR="00C2460C" w:rsidTr="008C6850">
        <w:trPr>
          <w:trHeight w:val="692"/>
        </w:trPr>
        <w:tc>
          <w:tcPr>
            <w:tcW w:w="1285" w:type="dxa"/>
            <w:tcBorders>
              <w:bottom w:val="single" w:sz="4" w:space="0" w:color="000000" w:themeColor="text1"/>
            </w:tcBorders>
            <w:shd w:val="clear" w:color="auto" w:fill="auto"/>
            <w:vAlign w:val="center"/>
          </w:tcPr>
          <w:p w:rsidR="00C2460C" w:rsidRPr="008C6850" w:rsidRDefault="00C2460C" w:rsidP="008C6850">
            <w:pPr>
              <w:jc w:val="right"/>
              <w:rPr>
                <w:b/>
                <w:sz w:val="24"/>
              </w:rPr>
            </w:pPr>
            <w:r w:rsidRPr="008C6850">
              <w:rPr>
                <w:b/>
                <w:sz w:val="24"/>
              </w:rPr>
              <w:t>Unit Plan</w:t>
            </w:r>
          </w:p>
        </w:tc>
        <w:tc>
          <w:tcPr>
            <w:tcW w:w="713" w:type="dxa"/>
            <w:tcBorders>
              <w:bottom w:val="single" w:sz="4" w:space="0" w:color="000000" w:themeColor="text1"/>
            </w:tcBorders>
            <w:shd w:val="clear" w:color="auto" w:fill="auto"/>
            <w:vAlign w:val="center"/>
          </w:tcPr>
          <w:p w:rsidR="00C2460C" w:rsidRPr="008C6850" w:rsidRDefault="00432424" w:rsidP="008C6850">
            <w:pPr>
              <w:jc w:val="center"/>
              <w:rPr>
                <w:b/>
                <w:sz w:val="24"/>
              </w:rPr>
            </w:pPr>
            <w:r>
              <w:rPr>
                <w:b/>
                <w:sz w:val="24"/>
              </w:rPr>
              <w:t>02</w:t>
            </w:r>
          </w:p>
        </w:tc>
        <w:tc>
          <w:tcPr>
            <w:tcW w:w="900" w:type="dxa"/>
            <w:tcBorders>
              <w:bottom w:val="single" w:sz="4" w:space="0" w:color="000000" w:themeColor="text1"/>
            </w:tcBorders>
            <w:shd w:val="clear" w:color="auto" w:fill="auto"/>
            <w:vAlign w:val="center"/>
          </w:tcPr>
          <w:p w:rsidR="00C2460C" w:rsidRPr="008C6850" w:rsidRDefault="00C2460C" w:rsidP="008C6850">
            <w:pPr>
              <w:jc w:val="right"/>
            </w:pPr>
            <w:r w:rsidRPr="008C6850">
              <w:t>Start:</w:t>
            </w:r>
          </w:p>
          <w:p w:rsidR="00C2460C" w:rsidRPr="008C6850" w:rsidRDefault="00C2460C" w:rsidP="008C6850">
            <w:pPr>
              <w:jc w:val="right"/>
            </w:pPr>
            <w:r w:rsidRPr="008C6850">
              <w:t>End:</w:t>
            </w:r>
          </w:p>
        </w:tc>
        <w:tc>
          <w:tcPr>
            <w:tcW w:w="1350" w:type="dxa"/>
            <w:tcBorders>
              <w:bottom w:val="single" w:sz="4" w:space="0" w:color="000000" w:themeColor="text1"/>
            </w:tcBorders>
            <w:shd w:val="clear" w:color="auto" w:fill="auto"/>
            <w:vAlign w:val="center"/>
          </w:tcPr>
          <w:p w:rsidR="00CF6AFC" w:rsidRDefault="00774BB8" w:rsidP="008C6850">
            <w:r>
              <w:t>Jan 2016</w:t>
            </w:r>
          </w:p>
          <w:p w:rsidR="00CF6AFC" w:rsidRPr="008C6850" w:rsidRDefault="00774BB8" w:rsidP="008C6850">
            <w:r>
              <w:t>April 2017</w:t>
            </w:r>
            <w:bookmarkStart w:id="0" w:name="_GoBack"/>
            <w:bookmarkEnd w:id="0"/>
          </w:p>
        </w:tc>
        <w:tc>
          <w:tcPr>
            <w:tcW w:w="5935" w:type="dxa"/>
            <w:tcBorders>
              <w:bottom w:val="single" w:sz="4" w:space="0" w:color="000000" w:themeColor="text1"/>
            </w:tcBorders>
            <w:shd w:val="clear" w:color="auto" w:fill="auto"/>
            <w:vAlign w:val="center"/>
          </w:tcPr>
          <w:p w:rsidR="00C2460C" w:rsidRPr="00CF6AFC" w:rsidRDefault="00CF6AFC" w:rsidP="008C6850">
            <w:pPr>
              <w:jc w:val="center"/>
              <w:rPr>
                <w:b/>
                <w:sz w:val="32"/>
                <w:szCs w:val="32"/>
              </w:rPr>
            </w:pPr>
            <w:r w:rsidRPr="00CF6AFC">
              <w:rPr>
                <w:b/>
                <w:sz w:val="32"/>
                <w:szCs w:val="32"/>
              </w:rPr>
              <w:t>Macroeconomics</w:t>
            </w:r>
          </w:p>
        </w:tc>
        <w:tc>
          <w:tcPr>
            <w:tcW w:w="1468" w:type="dxa"/>
            <w:tcBorders>
              <w:bottom w:val="single" w:sz="4" w:space="0" w:color="000000" w:themeColor="text1"/>
            </w:tcBorders>
            <w:shd w:val="clear" w:color="auto" w:fill="auto"/>
            <w:vAlign w:val="center"/>
          </w:tcPr>
          <w:p w:rsidR="00C2460C" w:rsidRPr="008C6850" w:rsidRDefault="00C2460C" w:rsidP="008C6850">
            <w:pPr>
              <w:jc w:val="right"/>
            </w:pPr>
            <w:r w:rsidRPr="008C6850">
              <w:t>Grade Level:                                            Teacher:</w:t>
            </w:r>
          </w:p>
        </w:tc>
        <w:tc>
          <w:tcPr>
            <w:tcW w:w="2586" w:type="dxa"/>
            <w:tcBorders>
              <w:bottom w:val="single" w:sz="4" w:space="0" w:color="000000" w:themeColor="text1"/>
            </w:tcBorders>
            <w:shd w:val="clear" w:color="auto" w:fill="auto"/>
            <w:vAlign w:val="center"/>
          </w:tcPr>
          <w:p w:rsidR="00C2460C" w:rsidRPr="008C6850" w:rsidRDefault="00432424" w:rsidP="008C6850">
            <w:r>
              <w:t xml:space="preserve">Grade </w:t>
            </w:r>
            <w:r w:rsidR="00CF6AFC">
              <w:t>11</w:t>
            </w:r>
          </w:p>
          <w:p w:rsidR="00C2460C" w:rsidRDefault="00774BB8" w:rsidP="008C6850">
            <w:r>
              <w:t>Stephen Ellis</w:t>
            </w:r>
          </w:p>
        </w:tc>
      </w:tr>
    </w:tbl>
    <w:p w:rsidR="00C2460C" w:rsidRPr="00347E98" w:rsidRDefault="00C2460C" w:rsidP="008C6850">
      <w:pPr>
        <w:spacing w:after="0" w:line="240" w:lineRule="auto"/>
      </w:pPr>
    </w:p>
    <w:p w:rsidR="00347E98" w:rsidRDefault="00D06138" w:rsidP="008C6850">
      <w:pPr>
        <w:spacing w:after="0" w:line="240" w:lineRule="auto"/>
      </w:pPr>
      <w:r>
        <w:rPr>
          <w:b/>
          <w:sz w:val="32"/>
        </w:rPr>
        <w:t>PART I</w:t>
      </w:r>
    </w:p>
    <w:p w:rsidR="00D06138" w:rsidRDefault="00D06138" w:rsidP="008C6850">
      <w:pPr>
        <w:spacing w:after="0" w:line="240" w:lineRule="auto"/>
      </w:pPr>
    </w:p>
    <w:tbl>
      <w:tblPr>
        <w:tblStyle w:val="TableGrid"/>
        <w:tblW w:w="0" w:type="auto"/>
        <w:tblLayout w:type="fixed"/>
        <w:tblLook w:val="04A0" w:firstRow="1" w:lastRow="0" w:firstColumn="1" w:lastColumn="0" w:noHBand="0" w:noVBand="1"/>
      </w:tblPr>
      <w:tblGrid>
        <w:gridCol w:w="3168"/>
        <w:gridCol w:w="3420"/>
        <w:gridCol w:w="270"/>
        <w:gridCol w:w="7299"/>
      </w:tblGrid>
      <w:tr w:rsidR="002565B1" w:rsidTr="001B71A7">
        <w:tc>
          <w:tcPr>
            <w:tcW w:w="6588" w:type="dxa"/>
            <w:gridSpan w:val="2"/>
            <w:shd w:val="clear" w:color="auto" w:fill="auto"/>
            <w:vAlign w:val="center"/>
          </w:tcPr>
          <w:p w:rsidR="00432FE7" w:rsidRPr="000C3DA9" w:rsidRDefault="00432FE7" w:rsidP="008C6850">
            <w:pPr>
              <w:jc w:val="both"/>
              <w:rPr>
                <w:b/>
              </w:rPr>
            </w:pPr>
            <w:r w:rsidRPr="009E6871">
              <w:rPr>
                <w:b/>
                <w:sz w:val="32"/>
              </w:rPr>
              <w:t>Global Contexts</w:t>
            </w: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BE7F68" w:rsidRDefault="008C6850" w:rsidP="008C6850">
            <w:pPr>
              <w:jc w:val="both"/>
            </w:pPr>
            <w:r>
              <w:rPr>
                <w:b/>
                <w:sz w:val="32"/>
              </w:rPr>
              <w:t>Topic</w:t>
            </w:r>
            <w:r w:rsidR="000C3DA9" w:rsidRPr="009E6871">
              <w:rPr>
                <w:sz w:val="32"/>
              </w:rPr>
              <w:t xml:space="preserve"> </w:t>
            </w:r>
            <w:r w:rsidR="000C3DA9">
              <w:t>(give subtopic code and title</w:t>
            </w:r>
            <w:r>
              <w:t xml:space="preserve"> as required</w:t>
            </w:r>
            <w:r w:rsidR="000C3DA9">
              <w:t>)</w:t>
            </w:r>
          </w:p>
        </w:tc>
      </w:tr>
      <w:tr w:rsidR="002565B1" w:rsidTr="001B71A7">
        <w:tc>
          <w:tcPr>
            <w:tcW w:w="3168" w:type="dxa"/>
            <w:shd w:val="clear" w:color="auto" w:fill="auto"/>
            <w:vAlign w:val="center"/>
          </w:tcPr>
          <w:p w:rsidR="008C7983" w:rsidRPr="00CF6AFC" w:rsidRDefault="00CF6AFC" w:rsidP="008C7983">
            <w:pPr>
              <w:pStyle w:val="ListParagraph"/>
              <w:numPr>
                <w:ilvl w:val="0"/>
                <w:numId w:val="2"/>
              </w:numPr>
              <w:jc w:val="both"/>
              <w:rPr>
                <w:sz w:val="20"/>
                <w:u w:val="single"/>
              </w:rPr>
            </w:pPr>
            <w:r w:rsidRPr="00CF6AFC">
              <w:rPr>
                <w:sz w:val="20"/>
                <w:u w:val="single"/>
              </w:rPr>
              <w:t>I</w:t>
            </w:r>
            <w:r w:rsidR="008C7983" w:rsidRPr="00CF6AFC">
              <w:rPr>
                <w:sz w:val="20"/>
                <w:u w:val="single"/>
              </w:rPr>
              <w:t>dentities and relationships</w:t>
            </w:r>
          </w:p>
          <w:p w:rsidR="008C7983" w:rsidRPr="008C7983" w:rsidRDefault="008C7983" w:rsidP="008C7983">
            <w:pPr>
              <w:pStyle w:val="ListParagraph"/>
              <w:numPr>
                <w:ilvl w:val="0"/>
                <w:numId w:val="2"/>
              </w:numPr>
              <w:jc w:val="both"/>
              <w:rPr>
                <w:sz w:val="20"/>
              </w:rPr>
            </w:pPr>
            <w:r w:rsidRPr="008C7983">
              <w:rPr>
                <w:sz w:val="20"/>
              </w:rPr>
              <w:t>orientation in time and space</w:t>
            </w:r>
          </w:p>
          <w:p w:rsidR="008C7983" w:rsidRPr="008C7983" w:rsidRDefault="008C7983" w:rsidP="008C7983">
            <w:pPr>
              <w:pStyle w:val="ListParagraph"/>
              <w:numPr>
                <w:ilvl w:val="0"/>
                <w:numId w:val="2"/>
              </w:numPr>
              <w:jc w:val="both"/>
              <w:rPr>
                <w:sz w:val="20"/>
              </w:rPr>
            </w:pPr>
            <w:r w:rsidRPr="008C7983">
              <w:rPr>
                <w:sz w:val="20"/>
              </w:rPr>
              <w:t>personal and cultural expression</w:t>
            </w:r>
          </w:p>
          <w:p w:rsidR="008C7983" w:rsidRPr="008C7983" w:rsidRDefault="008C7983" w:rsidP="008C7983">
            <w:pPr>
              <w:pStyle w:val="ListParagraph"/>
              <w:numPr>
                <w:ilvl w:val="0"/>
                <w:numId w:val="2"/>
              </w:numPr>
              <w:jc w:val="both"/>
              <w:rPr>
                <w:sz w:val="20"/>
              </w:rPr>
            </w:pPr>
            <w:r w:rsidRPr="008C7983">
              <w:rPr>
                <w:sz w:val="20"/>
              </w:rPr>
              <w:t>scientific and technical innovation</w:t>
            </w:r>
          </w:p>
          <w:p w:rsidR="00432FE7" w:rsidRPr="00CF6AFC" w:rsidRDefault="008C7983" w:rsidP="008C7983">
            <w:pPr>
              <w:pStyle w:val="ListParagraph"/>
              <w:numPr>
                <w:ilvl w:val="0"/>
                <w:numId w:val="2"/>
              </w:numPr>
              <w:jc w:val="both"/>
              <w:rPr>
                <w:sz w:val="20"/>
              </w:rPr>
            </w:pPr>
            <w:r w:rsidRPr="00CF6AFC">
              <w:rPr>
                <w:sz w:val="20"/>
              </w:rPr>
              <w:t>globalization and sustainability</w:t>
            </w:r>
          </w:p>
        </w:tc>
        <w:tc>
          <w:tcPr>
            <w:tcW w:w="3420" w:type="dxa"/>
            <w:shd w:val="clear" w:color="auto" w:fill="auto"/>
            <w:vAlign w:val="center"/>
          </w:tcPr>
          <w:p w:rsidR="00BE7F68" w:rsidRDefault="00432FE7" w:rsidP="008C6850">
            <w:pPr>
              <w:jc w:val="both"/>
              <w:rPr>
                <w:sz w:val="20"/>
              </w:rPr>
            </w:pPr>
            <w:r w:rsidRPr="000C3DA9">
              <w:rPr>
                <w:sz w:val="20"/>
              </w:rPr>
              <w:t xml:space="preserve">This </w:t>
            </w:r>
            <w:r w:rsidR="008C6850">
              <w:rPr>
                <w:sz w:val="20"/>
              </w:rPr>
              <w:t>Global Context</w:t>
            </w:r>
            <w:r w:rsidRPr="000C3DA9">
              <w:rPr>
                <w:sz w:val="20"/>
              </w:rPr>
              <w:t xml:space="preserve"> will b</w:t>
            </w:r>
            <w:r>
              <w:rPr>
                <w:sz w:val="20"/>
              </w:rPr>
              <w:t xml:space="preserve">e explored through inquiry into </w:t>
            </w:r>
            <w:r w:rsidR="00CF6AFC">
              <w:rPr>
                <w:sz w:val="20"/>
              </w:rPr>
              <w:t>Identities and Relationships.</w:t>
            </w:r>
          </w:p>
          <w:p w:rsidR="00CF6AFC" w:rsidRPr="00432FE7" w:rsidRDefault="00CF6AFC" w:rsidP="008C6850">
            <w:pPr>
              <w:jc w:val="both"/>
              <w:rPr>
                <w:sz w:val="20"/>
              </w:rPr>
            </w:pP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CF6AFC" w:rsidRPr="00492E57" w:rsidRDefault="00CF6AFC" w:rsidP="00CF6AFC">
            <w:r>
              <w:t>Topic</w:t>
            </w:r>
            <w:r w:rsidRPr="00492E57">
              <w:t xml:space="preserve"> 2: Macroeconomics (40SL, 50HL)</w:t>
            </w:r>
          </w:p>
          <w:p w:rsidR="00CF6AFC" w:rsidRDefault="00CF6AFC" w:rsidP="00CF6AFC">
            <w:pPr>
              <w:pStyle w:val="ListParagraph"/>
              <w:numPr>
                <w:ilvl w:val="0"/>
                <w:numId w:val="12"/>
              </w:numPr>
            </w:pPr>
            <w:r>
              <w:t>Level of overall economic activity</w:t>
            </w:r>
          </w:p>
          <w:p w:rsidR="00CF6AFC" w:rsidRDefault="00CF6AFC" w:rsidP="00CF6AFC">
            <w:pPr>
              <w:pStyle w:val="ListParagraph"/>
              <w:numPr>
                <w:ilvl w:val="0"/>
                <w:numId w:val="12"/>
              </w:numPr>
            </w:pPr>
            <w:r>
              <w:t>Aggregate demand and aggregate supply</w:t>
            </w:r>
          </w:p>
          <w:p w:rsidR="00CF6AFC" w:rsidRDefault="00CF6AFC" w:rsidP="00CF6AFC">
            <w:pPr>
              <w:pStyle w:val="ListParagraph"/>
              <w:numPr>
                <w:ilvl w:val="0"/>
                <w:numId w:val="12"/>
              </w:numPr>
            </w:pPr>
            <w:r>
              <w:t>Macroeconomic objectives</w:t>
            </w:r>
          </w:p>
          <w:p w:rsidR="00CF6AFC" w:rsidRDefault="00CF6AFC" w:rsidP="00CF6AFC">
            <w:pPr>
              <w:pStyle w:val="ListParagraph"/>
              <w:numPr>
                <w:ilvl w:val="0"/>
                <w:numId w:val="12"/>
              </w:numPr>
            </w:pPr>
            <w:r>
              <w:t>Fiscal policy</w:t>
            </w:r>
          </w:p>
          <w:p w:rsidR="00CF6AFC" w:rsidRDefault="00CF6AFC" w:rsidP="00CF6AFC">
            <w:pPr>
              <w:pStyle w:val="ListParagraph"/>
              <w:numPr>
                <w:ilvl w:val="0"/>
                <w:numId w:val="12"/>
              </w:numPr>
            </w:pPr>
            <w:r>
              <w:t>Monetary policy</w:t>
            </w:r>
          </w:p>
          <w:p w:rsidR="00CF6AFC" w:rsidRDefault="00CF6AFC" w:rsidP="00CF6AFC">
            <w:pPr>
              <w:pStyle w:val="ListParagraph"/>
              <w:numPr>
                <w:ilvl w:val="0"/>
                <w:numId w:val="12"/>
              </w:numPr>
            </w:pPr>
            <w:r>
              <w:t>Supply-side policies</w:t>
            </w:r>
          </w:p>
          <w:p w:rsidR="0092154E" w:rsidRDefault="0092154E" w:rsidP="00CF6AFC">
            <w:pPr>
              <w:pStyle w:val="ListParagraph"/>
              <w:ind w:left="480"/>
              <w:jc w:val="both"/>
            </w:pPr>
          </w:p>
        </w:tc>
      </w:tr>
    </w:tbl>
    <w:p w:rsidR="00217D24" w:rsidRDefault="00217D24" w:rsidP="008C6850">
      <w:pPr>
        <w:spacing w:after="0" w:line="240" w:lineRule="auto"/>
      </w:pPr>
    </w:p>
    <w:tbl>
      <w:tblPr>
        <w:tblStyle w:val="TableGrid"/>
        <w:tblW w:w="0" w:type="auto"/>
        <w:tblLook w:val="04A0" w:firstRow="1" w:lastRow="0" w:firstColumn="1" w:lastColumn="0" w:noHBand="0" w:noVBand="1"/>
      </w:tblPr>
      <w:tblGrid>
        <w:gridCol w:w="6972"/>
        <w:gridCol w:w="6977"/>
      </w:tblGrid>
      <w:tr w:rsidR="008C7983" w:rsidTr="008C6850">
        <w:trPr>
          <w:trHeight w:val="413"/>
        </w:trPr>
        <w:tc>
          <w:tcPr>
            <w:tcW w:w="14157" w:type="dxa"/>
            <w:gridSpan w:val="2"/>
            <w:shd w:val="clear" w:color="auto" w:fill="auto"/>
          </w:tcPr>
          <w:p w:rsidR="008C7983" w:rsidRPr="009E6871" w:rsidRDefault="008C7983" w:rsidP="008C6850">
            <w:pPr>
              <w:rPr>
                <w:b/>
                <w:sz w:val="32"/>
              </w:rPr>
            </w:pPr>
            <w:r>
              <w:rPr>
                <w:b/>
                <w:sz w:val="32"/>
              </w:rPr>
              <w:t xml:space="preserve">Key Concepts explored within the Unit: </w:t>
            </w:r>
          </w:p>
        </w:tc>
      </w:tr>
      <w:tr w:rsidR="008C7983" w:rsidTr="008C6850">
        <w:trPr>
          <w:trHeight w:val="413"/>
        </w:trPr>
        <w:tc>
          <w:tcPr>
            <w:tcW w:w="14157" w:type="dxa"/>
            <w:gridSpan w:val="2"/>
            <w:shd w:val="clear" w:color="auto" w:fill="auto"/>
          </w:tcPr>
          <w:p w:rsidR="008C7983" w:rsidRPr="008C7983" w:rsidRDefault="008C7983" w:rsidP="008C7983">
            <w:pPr>
              <w:rPr>
                <w:b/>
              </w:rPr>
            </w:pPr>
            <w:r>
              <w:rPr>
                <w:b/>
              </w:rPr>
              <w:t xml:space="preserve">These can be found within each DP Guide or may be specific to a particular unit: </w:t>
            </w:r>
            <w:proofErr w:type="spellStart"/>
            <w:r>
              <w:rPr>
                <w:b/>
              </w:rPr>
              <w:t>e.g</w:t>
            </w:r>
            <w:proofErr w:type="spellEnd"/>
            <w:r>
              <w:rPr>
                <w:b/>
              </w:rPr>
              <w:t xml:space="preserve"> </w:t>
            </w:r>
            <w:r w:rsidRPr="008C7983">
              <w:rPr>
                <w:b/>
              </w:rPr>
              <w:t>Equilibrium within systems</w:t>
            </w:r>
            <w:r>
              <w:rPr>
                <w:b/>
              </w:rPr>
              <w:t xml:space="preserve"> (Biology), </w:t>
            </w:r>
            <w:r w:rsidR="00D06138">
              <w:rPr>
                <w:b/>
              </w:rPr>
              <w:t>Genre and style (Visual Arts)</w:t>
            </w:r>
          </w:p>
          <w:p w:rsidR="008C7983" w:rsidRDefault="008C7983" w:rsidP="008C6850">
            <w:pPr>
              <w:rPr>
                <w:b/>
              </w:rPr>
            </w:pPr>
          </w:p>
          <w:p w:rsidR="009C14A2" w:rsidRPr="001824F4" w:rsidRDefault="009C14A2" w:rsidP="009C14A2">
            <w:pPr>
              <w:pStyle w:val="NoSpacing"/>
              <w:rPr>
                <w:rFonts w:eastAsia="Malgun Gothic"/>
                <w:lang w:eastAsia="ko-KR"/>
              </w:rPr>
            </w:pPr>
            <w:r w:rsidRPr="001824F4">
              <w:rPr>
                <w:rFonts w:eastAsia="Malgun Gothic" w:hint="eastAsia"/>
                <w:lang w:eastAsia="ko-KR"/>
              </w:rPr>
              <w:t>Students will be given the opportunity to i</w:t>
            </w:r>
            <w:r w:rsidRPr="00D03849">
              <w:t>dentify the four factors of production</w:t>
            </w:r>
            <w:r>
              <w:t xml:space="preserve"> and their respective payments</w:t>
            </w:r>
            <w:r w:rsidRPr="001824F4">
              <w:rPr>
                <w:rFonts w:eastAsia="Malgun Gothic" w:hint="eastAsia"/>
                <w:lang w:eastAsia="ko-KR"/>
              </w:rPr>
              <w:t>. The fact that</w:t>
            </w:r>
            <w:r w:rsidRPr="00D03849">
              <w:t xml:space="preserve"> that the income flow is numerically equivalent to the expenditure flow</w:t>
            </w:r>
            <w:r>
              <w:t xml:space="preserve"> and the value of output flow</w:t>
            </w:r>
            <w:r w:rsidRPr="001824F4">
              <w:rPr>
                <w:rFonts w:eastAsia="Malgun Gothic" w:hint="eastAsia"/>
                <w:lang w:eastAsia="ko-KR"/>
              </w:rPr>
              <w:t xml:space="preserve"> will also be explained</w:t>
            </w:r>
            <w:r>
              <w:t xml:space="preserve">. </w:t>
            </w:r>
            <w:r w:rsidRPr="00D03849">
              <w:t>Describe, using a diagram, the circular flow of income in an open economy with government and financial markets, refe</w:t>
            </w:r>
            <w:r>
              <w:t>rring to leakages/ withdrawals and injections</w:t>
            </w:r>
            <w:r w:rsidRPr="001824F4">
              <w:rPr>
                <w:rFonts w:eastAsia="Malgun Gothic" w:hint="eastAsia"/>
                <w:lang w:eastAsia="ko-KR"/>
              </w:rPr>
              <w:t>.</w:t>
            </w:r>
          </w:p>
          <w:p w:rsidR="009C14A2" w:rsidRPr="001824F4" w:rsidRDefault="009C14A2" w:rsidP="009C14A2">
            <w:pPr>
              <w:rPr>
                <w:rFonts w:eastAsia="Malgun Gothic" w:cs="Arial"/>
                <w:sz w:val="18"/>
                <w:szCs w:val="18"/>
                <w:lang w:eastAsia="ko-KR"/>
              </w:rPr>
            </w:pPr>
          </w:p>
          <w:p w:rsidR="008C7983" w:rsidRPr="00CF6AFC" w:rsidRDefault="009C14A2" w:rsidP="00CF6AFC">
            <w:pPr>
              <w:pStyle w:val="NoSpacing"/>
              <w:rPr>
                <w:rFonts w:cs="Arial"/>
                <w:sz w:val="18"/>
                <w:szCs w:val="18"/>
              </w:rPr>
            </w:pPr>
            <w:r w:rsidRPr="00D239ED">
              <w:rPr>
                <w:rFonts w:cs="Arial"/>
                <w:sz w:val="18"/>
                <w:szCs w:val="18"/>
              </w:rPr>
              <w:t>Measures of economic activity: gross domestic product (GDP), and gross national product (GNP) or gross national income (GNI)</w:t>
            </w:r>
            <w:r w:rsidRPr="001824F4">
              <w:rPr>
                <w:rFonts w:eastAsia="Malgun Gothic" w:cs="Arial" w:hint="eastAsia"/>
                <w:sz w:val="18"/>
                <w:szCs w:val="18"/>
                <w:lang w:eastAsia="ko-KR"/>
              </w:rPr>
              <w:t>.</w:t>
            </w:r>
            <w:r w:rsidR="00CF6AFC">
              <w:rPr>
                <w:rFonts w:cs="Arial"/>
                <w:sz w:val="18"/>
                <w:szCs w:val="18"/>
              </w:rPr>
              <w:tab/>
              <w:t xml:space="preserve"> </w:t>
            </w:r>
          </w:p>
        </w:tc>
      </w:tr>
      <w:tr w:rsidR="008C6850" w:rsidTr="008C6850">
        <w:trPr>
          <w:trHeight w:val="413"/>
        </w:trPr>
        <w:tc>
          <w:tcPr>
            <w:tcW w:w="14157" w:type="dxa"/>
            <w:gridSpan w:val="2"/>
            <w:shd w:val="clear" w:color="auto" w:fill="auto"/>
          </w:tcPr>
          <w:p w:rsidR="008C6850" w:rsidRPr="009E6871" w:rsidRDefault="008C6850" w:rsidP="008C6850">
            <w:pPr>
              <w:rPr>
                <w:b/>
              </w:rPr>
            </w:pPr>
            <w:r w:rsidRPr="009E6871">
              <w:rPr>
                <w:b/>
                <w:sz w:val="32"/>
              </w:rPr>
              <w:t>Content: Skills and Know</w:t>
            </w:r>
            <w:r>
              <w:rPr>
                <w:b/>
                <w:sz w:val="32"/>
              </w:rPr>
              <w:t>l</w:t>
            </w:r>
            <w:r w:rsidRPr="009E6871">
              <w:rPr>
                <w:b/>
                <w:sz w:val="32"/>
              </w:rPr>
              <w:t xml:space="preserve">edge </w:t>
            </w:r>
            <w:r w:rsidRPr="009E6871">
              <w:rPr>
                <w:b/>
                <w:sz w:val="28"/>
              </w:rPr>
              <w:t>(Learning outcomes stated using command terms)</w:t>
            </w:r>
            <w:r>
              <w:rPr>
                <w:b/>
                <w:sz w:val="28"/>
              </w:rPr>
              <w:t xml:space="preserve"> </w:t>
            </w:r>
          </w:p>
        </w:tc>
      </w:tr>
      <w:tr w:rsidR="008C6850" w:rsidTr="008C6850">
        <w:tc>
          <w:tcPr>
            <w:tcW w:w="7078" w:type="dxa"/>
            <w:shd w:val="clear" w:color="auto" w:fill="auto"/>
          </w:tcPr>
          <w:p w:rsidR="008C6850" w:rsidRPr="004D50FD" w:rsidRDefault="008C6850" w:rsidP="008C6850">
            <w:pPr>
              <w:rPr>
                <w:b/>
              </w:rPr>
            </w:pPr>
            <w:r w:rsidRPr="004D50FD">
              <w:rPr>
                <w:b/>
              </w:rPr>
              <w:t>All assessment statements addressed in the following subtopics:</w:t>
            </w:r>
          </w:p>
          <w:p w:rsidR="00CF6AFC" w:rsidRPr="00EA75A6" w:rsidRDefault="00CF6AFC" w:rsidP="00CF6AFC">
            <w:pPr>
              <w:pStyle w:val="NoSpacing"/>
              <w:rPr>
                <w:rFonts w:cs="Arial"/>
                <w:b/>
                <w:sz w:val="18"/>
                <w:szCs w:val="18"/>
              </w:rPr>
            </w:pPr>
            <w:r w:rsidRPr="00EA75A6">
              <w:rPr>
                <w:rFonts w:cs="Arial"/>
                <w:b/>
                <w:sz w:val="18"/>
                <w:szCs w:val="18"/>
              </w:rPr>
              <w:t xml:space="preserve">Calculate nominal GDP from sets of national income data, using the expenditure approach. </w:t>
            </w:r>
          </w:p>
          <w:p w:rsidR="00CF6AFC" w:rsidRPr="00EA75A6" w:rsidRDefault="00CF6AFC" w:rsidP="00CF6AFC">
            <w:pPr>
              <w:pStyle w:val="NoSpacing"/>
              <w:rPr>
                <w:rFonts w:cs="Arial"/>
                <w:b/>
                <w:sz w:val="18"/>
                <w:szCs w:val="18"/>
              </w:rPr>
            </w:pPr>
            <w:r w:rsidRPr="00EA75A6">
              <w:rPr>
                <w:rFonts w:cs="Arial"/>
                <w:b/>
                <w:sz w:val="18"/>
                <w:szCs w:val="18"/>
              </w:rPr>
              <w:t xml:space="preserve">Calculate GNP/GNI from data </w:t>
            </w:r>
          </w:p>
          <w:p w:rsidR="00CF6AFC" w:rsidRPr="00D239ED" w:rsidRDefault="00CF6AFC" w:rsidP="00CF6AFC">
            <w:pPr>
              <w:pStyle w:val="NoSpacing"/>
              <w:rPr>
                <w:rFonts w:cs="Arial"/>
                <w:sz w:val="18"/>
                <w:szCs w:val="18"/>
              </w:rPr>
            </w:pPr>
            <w:r w:rsidRPr="00EA75A6">
              <w:rPr>
                <w:rFonts w:cs="Arial"/>
                <w:b/>
                <w:sz w:val="18"/>
                <w:szCs w:val="18"/>
              </w:rPr>
              <w:t>Calculate real GDP, using a price deflator</w:t>
            </w:r>
            <w:r w:rsidRPr="00D239ED">
              <w:rPr>
                <w:rFonts w:cs="Arial"/>
                <w:sz w:val="18"/>
                <w:szCs w:val="18"/>
              </w:rPr>
              <w:t xml:space="preserve">. </w:t>
            </w:r>
            <w:r w:rsidRPr="00D239ED">
              <w:rPr>
                <w:rFonts w:cs="Arial"/>
                <w:sz w:val="18"/>
                <w:szCs w:val="18"/>
              </w:rPr>
              <w:tab/>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Explain, using a business cycle diagram, that economies typically tend to go through a cyclical pattern characterized by the phases of the business cycle.</w:t>
            </w:r>
          </w:p>
          <w:p w:rsidR="00CF6AFC" w:rsidRPr="00D239ED" w:rsidRDefault="00CF6AFC" w:rsidP="00CF6AFC">
            <w:pPr>
              <w:pStyle w:val="NoSpacing"/>
              <w:rPr>
                <w:rFonts w:cs="Arial"/>
                <w:sz w:val="18"/>
                <w:szCs w:val="18"/>
              </w:rPr>
            </w:pPr>
            <w:r w:rsidRPr="00D239ED">
              <w:rPr>
                <w:rFonts w:cs="Arial"/>
                <w:sz w:val="18"/>
                <w:szCs w:val="18"/>
              </w:rPr>
              <w:t>Explain the long-term growth trend in the business cycle diagram as the potential output of the economy.</w:t>
            </w:r>
          </w:p>
          <w:p w:rsidR="00CF6AFC" w:rsidRPr="00D239ED" w:rsidRDefault="00CF6AFC" w:rsidP="00CF6AFC">
            <w:pPr>
              <w:pStyle w:val="NoSpacing"/>
              <w:rPr>
                <w:rFonts w:cs="Arial"/>
                <w:sz w:val="18"/>
                <w:szCs w:val="18"/>
              </w:rPr>
            </w:pPr>
            <w:r w:rsidRPr="00D239ED">
              <w:rPr>
                <w:rFonts w:cs="Arial"/>
                <w:sz w:val="18"/>
                <w:szCs w:val="18"/>
              </w:rPr>
              <w:t>Distinguish between a decrease in GDP and a decrease in GDP growth.</w:t>
            </w: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Distinguish between the microeconomic concept of demand for a product and the macroeconomic concept of aggregate demand.</w:t>
            </w:r>
          </w:p>
          <w:p w:rsidR="00CF6AFC" w:rsidRPr="00D239ED" w:rsidRDefault="00CF6AFC" w:rsidP="00CF6AFC">
            <w:pPr>
              <w:pStyle w:val="NoSpacing"/>
              <w:rPr>
                <w:rFonts w:cs="Arial"/>
                <w:sz w:val="18"/>
                <w:szCs w:val="18"/>
              </w:rPr>
            </w:pPr>
            <w:r w:rsidRPr="00D239ED">
              <w:rPr>
                <w:rFonts w:cs="Arial"/>
                <w:sz w:val="18"/>
                <w:szCs w:val="18"/>
              </w:rPr>
              <w:t>Construct an aggregate demand curve.</w:t>
            </w:r>
          </w:p>
          <w:p w:rsidR="00CF6AFC" w:rsidRPr="00D239ED" w:rsidRDefault="00CF6AFC" w:rsidP="00CF6AFC">
            <w:pPr>
              <w:pStyle w:val="NoSpacing"/>
              <w:rPr>
                <w:rFonts w:cs="Arial"/>
                <w:sz w:val="18"/>
                <w:szCs w:val="18"/>
              </w:rPr>
            </w:pPr>
            <w:r w:rsidRPr="00D239ED">
              <w:rPr>
                <w:rFonts w:cs="Arial"/>
                <w:sz w:val="18"/>
                <w:szCs w:val="18"/>
              </w:rPr>
              <w:t>Explain why the AD curve has a negative slope.</w:t>
            </w:r>
            <w:r w:rsidRPr="00D239ED">
              <w:rPr>
                <w:rFonts w:cs="Arial"/>
                <w:sz w:val="18"/>
                <w:szCs w:val="18"/>
              </w:rPr>
              <w:tab/>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Describe consumption, investment, government spending and net exports as the components of aggregate demand.</w:t>
            </w:r>
            <w:r w:rsidRPr="00D239ED">
              <w:rPr>
                <w:rFonts w:cs="Arial"/>
                <w:sz w:val="18"/>
                <w:szCs w:val="18"/>
              </w:rPr>
              <w:tab/>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The determinants of AD or causes of shifts in the AD curve</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Explain how the AD curve can be shifted by changes in consumption due to factors including changes in consumer confidence, interest rates, wealth, personal income taxes (and hence disposable income) and level of household indebtedness.</w:t>
            </w:r>
          </w:p>
          <w:p w:rsidR="00CF6AFC" w:rsidRPr="00D239ED" w:rsidRDefault="00CF6AFC" w:rsidP="00CF6AFC">
            <w:pPr>
              <w:pStyle w:val="NoSpacing"/>
              <w:rPr>
                <w:rFonts w:cs="Arial"/>
                <w:sz w:val="18"/>
                <w:szCs w:val="18"/>
              </w:rPr>
            </w:pPr>
            <w:r w:rsidRPr="00D239ED">
              <w:rPr>
                <w:rFonts w:cs="Arial"/>
                <w:sz w:val="18"/>
                <w:szCs w:val="18"/>
              </w:rPr>
              <w:t>Explain how the AD curve can be shifted by changes in investment due to factors including interest rates, business confidence, technology, business taxes and the level of corporate indebtedness.</w:t>
            </w:r>
          </w:p>
          <w:p w:rsidR="00CF6AFC" w:rsidRPr="00D239ED" w:rsidRDefault="00CF6AFC" w:rsidP="00CF6AFC">
            <w:pPr>
              <w:pStyle w:val="NoSpacing"/>
              <w:rPr>
                <w:rFonts w:cs="Arial"/>
                <w:sz w:val="18"/>
                <w:szCs w:val="18"/>
              </w:rPr>
            </w:pPr>
            <w:r w:rsidRPr="00D239ED">
              <w:rPr>
                <w:rFonts w:cs="Arial"/>
                <w:sz w:val="18"/>
                <w:szCs w:val="18"/>
              </w:rPr>
              <w:t>Explain how the AD curve can be shifted by changes in government spending due to factors including political and economic priorities.</w:t>
            </w:r>
          </w:p>
          <w:p w:rsidR="00CF6AFC" w:rsidRPr="00D239ED" w:rsidRDefault="00CF6AFC" w:rsidP="00CF6AFC">
            <w:pPr>
              <w:pStyle w:val="NoSpacing"/>
              <w:rPr>
                <w:rFonts w:cs="Arial"/>
                <w:sz w:val="18"/>
                <w:szCs w:val="18"/>
              </w:rPr>
            </w:pPr>
            <w:r w:rsidRPr="00D239ED">
              <w:rPr>
                <w:rFonts w:cs="Arial"/>
                <w:sz w:val="18"/>
                <w:szCs w:val="18"/>
              </w:rPr>
              <w:t>Explain how the AD curve can be shifted by changes in net exports due to factors including the income of trading partners, exchange rates and changes in the level of protectionism.</w:t>
            </w:r>
            <w:r w:rsidRPr="00D239ED">
              <w:rPr>
                <w:rFonts w:cs="Arial"/>
                <w:sz w:val="18"/>
                <w:szCs w:val="18"/>
              </w:rPr>
              <w:tab/>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Describe the term aggregate supply.</w:t>
            </w:r>
          </w:p>
          <w:p w:rsidR="00CF6AFC" w:rsidRPr="00D239ED" w:rsidRDefault="00CF6AFC" w:rsidP="00CF6AFC">
            <w:pPr>
              <w:pStyle w:val="NoSpacing"/>
              <w:rPr>
                <w:rFonts w:cs="Arial"/>
                <w:sz w:val="18"/>
                <w:szCs w:val="18"/>
              </w:rPr>
            </w:pPr>
            <w:r w:rsidRPr="00D239ED">
              <w:rPr>
                <w:rFonts w:cs="Arial"/>
                <w:sz w:val="18"/>
                <w:szCs w:val="18"/>
              </w:rPr>
              <w:t>Explain, using a diagram, why the short-run aggregate supply curve (SRAS curve) is upward sloping.</w:t>
            </w:r>
          </w:p>
          <w:p w:rsidR="00CF6AFC" w:rsidRPr="00D239ED" w:rsidRDefault="00CF6AFC" w:rsidP="00CF6AFC">
            <w:pPr>
              <w:pStyle w:val="NoSpacing"/>
              <w:rPr>
                <w:rFonts w:cs="Arial"/>
                <w:sz w:val="18"/>
                <w:szCs w:val="18"/>
              </w:rPr>
            </w:pPr>
            <w:r w:rsidRPr="00D239ED">
              <w:rPr>
                <w:rFonts w:cs="Arial"/>
                <w:sz w:val="18"/>
                <w:szCs w:val="18"/>
              </w:rPr>
              <w:tab/>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Alternative views of AS</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 xml:space="preserve">Explain, using a diagram, that the monetarist/new classical model of the </w:t>
            </w:r>
            <w:proofErr w:type="spellStart"/>
            <w:r w:rsidRPr="00D239ED">
              <w:rPr>
                <w:rFonts w:cs="Arial"/>
                <w:sz w:val="18"/>
                <w:szCs w:val="18"/>
              </w:rPr>
              <w:t>longrun</w:t>
            </w:r>
            <w:proofErr w:type="spellEnd"/>
            <w:r w:rsidRPr="00D239ED">
              <w:rPr>
                <w:rFonts w:cs="Arial"/>
                <w:sz w:val="18"/>
                <w:szCs w:val="18"/>
              </w:rPr>
              <w:t xml:space="preserve"> aggregate supply curve (LRAS) is vertical at the level of potential output (full employment output) because aggregate supply in the long run is independent of the price level.</w:t>
            </w:r>
          </w:p>
          <w:p w:rsidR="00CF6AFC" w:rsidRPr="00D239ED" w:rsidRDefault="00CF6AFC" w:rsidP="00CF6AFC">
            <w:pPr>
              <w:pStyle w:val="NoSpacing"/>
              <w:rPr>
                <w:rFonts w:cs="Arial"/>
                <w:sz w:val="18"/>
                <w:szCs w:val="18"/>
              </w:rPr>
            </w:pPr>
            <w:r w:rsidRPr="00D239ED">
              <w:rPr>
                <w:rFonts w:cs="Arial"/>
                <w:sz w:val="18"/>
                <w:szCs w:val="18"/>
              </w:rPr>
              <w:t>Explain, using a diagram, that the Keynesian model of the aggregate supply curve has three sections because of “wage/price” downward inflexibility and different levels of spare capacity in the economy.</w:t>
            </w:r>
            <w:r w:rsidRPr="00D239ED">
              <w:rPr>
                <w:rFonts w:cs="Arial"/>
                <w:sz w:val="18"/>
                <w:szCs w:val="18"/>
              </w:rPr>
              <w:tab/>
            </w:r>
            <w:r w:rsidRPr="00D239ED">
              <w:rPr>
                <w:rFonts w:cs="Arial"/>
                <w:sz w:val="18"/>
                <w:szCs w:val="18"/>
              </w:rPr>
              <w:tab/>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Explain, using the two models above, how factors leading to changes in the quantity and/or quality of factors of production (including improvements in efficiency, new technology, reductions in unemployment, and institutional changes) can shift the aggregate supply curve over the long term.</w:t>
            </w:r>
            <w:r w:rsidRPr="00D239ED">
              <w:rPr>
                <w:rFonts w:cs="Arial"/>
                <w:sz w:val="18"/>
                <w:szCs w:val="18"/>
              </w:rPr>
              <w:tab/>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Explain, using a diagram, the determination of short-run equilibrium, using the SRAS curve.</w:t>
            </w:r>
          </w:p>
          <w:p w:rsidR="00CF6AFC" w:rsidRPr="00D239ED" w:rsidRDefault="00CF6AFC" w:rsidP="00CF6AFC">
            <w:pPr>
              <w:pStyle w:val="NoSpacing"/>
              <w:rPr>
                <w:rFonts w:cs="Arial"/>
                <w:sz w:val="18"/>
                <w:szCs w:val="18"/>
              </w:rPr>
            </w:pPr>
            <w:r w:rsidRPr="00D239ED">
              <w:rPr>
                <w:rFonts w:cs="Arial"/>
                <w:sz w:val="18"/>
                <w:szCs w:val="18"/>
              </w:rPr>
              <w:t xml:space="preserve">Examine, using diagrams, the impacts of changes in </w:t>
            </w:r>
            <w:proofErr w:type="spellStart"/>
            <w:r w:rsidRPr="00D239ED">
              <w:rPr>
                <w:rFonts w:cs="Arial"/>
                <w:sz w:val="18"/>
                <w:szCs w:val="18"/>
              </w:rPr>
              <w:t>shortrun</w:t>
            </w:r>
            <w:proofErr w:type="spellEnd"/>
            <w:r w:rsidRPr="00D239ED">
              <w:rPr>
                <w:rFonts w:cs="Arial"/>
                <w:sz w:val="18"/>
                <w:szCs w:val="18"/>
              </w:rPr>
              <w:t xml:space="preserve"> equilibrium.</w:t>
            </w:r>
            <w:r w:rsidRPr="00D239ED">
              <w:rPr>
                <w:rFonts w:cs="Arial"/>
                <w:sz w:val="18"/>
                <w:szCs w:val="18"/>
              </w:rPr>
              <w:tab/>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Equilibrium in the monetarist / new classical model</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Explain, using a diagram, the determination of long-run equilibrium, indicating that long-run equilibrium occurs at the full employment level of output.</w:t>
            </w:r>
          </w:p>
          <w:p w:rsidR="00CF6AFC" w:rsidRPr="00D239ED" w:rsidRDefault="00CF6AFC" w:rsidP="00CF6AFC">
            <w:pPr>
              <w:pStyle w:val="NoSpacing"/>
              <w:rPr>
                <w:rFonts w:cs="Arial"/>
                <w:sz w:val="18"/>
                <w:szCs w:val="18"/>
              </w:rPr>
            </w:pPr>
            <w:r w:rsidRPr="00D239ED">
              <w:rPr>
                <w:rFonts w:cs="Arial"/>
                <w:sz w:val="18"/>
                <w:szCs w:val="18"/>
              </w:rPr>
              <w:t>Explain why, in the monetarist/new classical approach, while there may be short-term fluctuations in output, the economy will always return to the full employment level of output in the long run.</w:t>
            </w:r>
          </w:p>
          <w:p w:rsidR="00CF6AFC" w:rsidRPr="00D239ED" w:rsidRDefault="00CF6AFC" w:rsidP="00CF6AFC">
            <w:pPr>
              <w:pStyle w:val="NoSpacing"/>
              <w:rPr>
                <w:rFonts w:cs="Arial"/>
                <w:sz w:val="18"/>
                <w:szCs w:val="18"/>
              </w:rPr>
            </w:pPr>
            <w:r w:rsidRPr="00D239ED">
              <w:rPr>
                <w:rFonts w:cs="Arial"/>
                <w:sz w:val="18"/>
                <w:szCs w:val="18"/>
              </w:rPr>
              <w:t>Examine, using diagrams, the impacts of changes in the long-run equilibrium.</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lastRenderedPageBreak/>
              <w:t>Equilibrium in the Keynesian mode</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Explain, using the Keynesian AD/AS diagram, that the economy may be in equilibrium at any level of real output where AD intersects AS.</w:t>
            </w:r>
          </w:p>
          <w:p w:rsidR="00CF6AFC" w:rsidRPr="00D239ED" w:rsidRDefault="00CF6AFC" w:rsidP="00CF6AFC">
            <w:pPr>
              <w:pStyle w:val="NoSpacing"/>
              <w:rPr>
                <w:rFonts w:cs="Arial"/>
                <w:sz w:val="18"/>
                <w:szCs w:val="18"/>
              </w:rPr>
            </w:pPr>
            <w:r w:rsidRPr="00D239ED">
              <w:rPr>
                <w:rFonts w:cs="Arial"/>
                <w:sz w:val="18"/>
                <w:szCs w:val="18"/>
              </w:rPr>
              <w:t>Explain, using a diagram, that if the economy is in equilibrium at a level of real output below the full employment level of output, then there is a deflationary (recessionary) gap.</w:t>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Explain, using a diagram, that if AD increases in the vertical section of the AS curve, then there is an inflationary gap.</w:t>
            </w:r>
          </w:p>
          <w:p w:rsidR="00CF6AFC" w:rsidRPr="00D239ED" w:rsidRDefault="00CF6AFC" w:rsidP="00CF6AFC">
            <w:pPr>
              <w:pStyle w:val="NoSpacing"/>
              <w:rPr>
                <w:rFonts w:cs="Arial"/>
                <w:sz w:val="18"/>
                <w:szCs w:val="18"/>
              </w:rPr>
            </w:pPr>
            <w:r w:rsidRPr="00D239ED">
              <w:rPr>
                <w:rFonts w:cs="Arial"/>
                <w:sz w:val="18"/>
                <w:szCs w:val="18"/>
              </w:rPr>
              <w:t>Discuss why, in contrast to the monetarist/new classical model, increases in aggregate demand in the Keynesian AD/AS model need not be inflationary, unless the economy is operating close to, or at, the level of full employment.</w:t>
            </w:r>
          </w:p>
          <w:p w:rsidR="00CF6AFC" w:rsidRPr="00D239ED" w:rsidRDefault="00CF6AFC" w:rsidP="00CF6AFC">
            <w:pPr>
              <w:pStyle w:val="NoSpacing"/>
              <w:rPr>
                <w:rFonts w:cs="Arial"/>
                <w:sz w:val="18"/>
                <w:szCs w:val="18"/>
              </w:rPr>
            </w:pPr>
            <w:r w:rsidRPr="00D239ED">
              <w:rPr>
                <w:rFonts w:cs="Arial"/>
                <w:sz w:val="18"/>
                <w:szCs w:val="18"/>
              </w:rPr>
              <w:tab/>
              <w:t xml:space="preserve"> </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Explain, with reference to the concepts of leakages (withdrawals) and injections, the nature and importance of the Keynesian mult</w:t>
            </w:r>
            <w:r>
              <w:rPr>
                <w:rFonts w:cs="Arial"/>
                <w:sz w:val="18"/>
                <w:szCs w:val="18"/>
              </w:rPr>
              <w:t>iplier.</w:t>
            </w:r>
            <w:r w:rsidRPr="001824F4">
              <w:rPr>
                <w:rFonts w:eastAsia="Malgun Gothic" w:cs="Arial" w:hint="eastAsia"/>
                <w:sz w:val="18"/>
                <w:szCs w:val="18"/>
                <w:lang w:eastAsia="ko-KR"/>
              </w:rPr>
              <w:t xml:space="preserve"> </w:t>
            </w:r>
            <w:r w:rsidRPr="00D239ED">
              <w:rPr>
                <w:rFonts w:cs="Arial"/>
                <w:sz w:val="18"/>
                <w:szCs w:val="18"/>
              </w:rPr>
              <w:t>Use the multiplier to calculate the effect on GDP of a change in an injection in investment, government spending or exports.</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Explain the difficulties in measuring unemployment, including the existence of hidden unemployment, the existence of underemployment, and the fact that it is an average and therefore ignores regional, ethnic, age and gender disparities.</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Consequences of unemployment</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Discuss possible economic consequences of unemployment, including a loss of GDP, loss of tax revenue, increased cost of unemployment benefits, loss of income for individuals, and greater disparities in the distribution of income.</w:t>
            </w:r>
          </w:p>
          <w:p w:rsidR="00CF6AFC" w:rsidRPr="00D239ED" w:rsidRDefault="00CF6AFC" w:rsidP="00CF6AFC">
            <w:pPr>
              <w:pStyle w:val="NoSpacing"/>
              <w:rPr>
                <w:rFonts w:cs="Arial"/>
                <w:sz w:val="18"/>
                <w:szCs w:val="18"/>
              </w:rPr>
            </w:pPr>
            <w:r w:rsidRPr="00D239ED">
              <w:rPr>
                <w:rFonts w:cs="Arial"/>
                <w:sz w:val="18"/>
                <w:szCs w:val="18"/>
              </w:rPr>
              <w:t>Discuss possible personal and social consequences of unemployment, including increased crime rates, increased stress levels, increased indebtedness, homelessness and family breakdown.</w:t>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Explain that inflation figures may not accurately reflect changes in consumption patterns and the quality of the products purchased.</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Consequences of inflation</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Discuss the possible consequences of a high inflation rate, including greater uncertainty, redistributive effects, less saving, and the damage to export competitiveness.</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Consequence of deflation</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Possible relationships betw</w:t>
            </w:r>
            <w:r>
              <w:rPr>
                <w:rFonts w:cs="Arial"/>
                <w:sz w:val="18"/>
                <w:szCs w:val="18"/>
              </w:rPr>
              <w:t>een unemployment and inflation</w:t>
            </w:r>
            <w:r w:rsidRPr="001824F4">
              <w:rPr>
                <w:rFonts w:eastAsia="Malgun Gothic" w:cs="Arial" w:hint="eastAsia"/>
                <w:sz w:val="18"/>
                <w:szCs w:val="18"/>
                <w:lang w:eastAsia="ko-KR"/>
              </w:rPr>
              <w:t xml:space="preserve">. </w:t>
            </w:r>
            <w:r w:rsidRPr="00D239ED">
              <w:rPr>
                <w:rFonts w:cs="Arial"/>
                <w:sz w:val="18"/>
                <w:szCs w:val="18"/>
              </w:rPr>
              <w:t>Discuss, using a short-run Phillips curve diagram, the view that there is a possible trade-off between the unemployment rate and the inflation rate in the short run.</w:t>
            </w: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Describe, using a production possibilities curve (PPC) diagram, economic growth as an increase in actual output caused by factors including a reduction in unemployment and increases in productive efficiency, leading to a movement of a point inside the PPC to a point closer to the PPC.</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Explain the difference between equity in the distribution of income and equality in the distribution of income.</w:t>
            </w:r>
          </w:p>
          <w:p w:rsidR="00CF6AFC" w:rsidRPr="001824F4" w:rsidRDefault="00CF6AFC" w:rsidP="00CF6AFC">
            <w:pPr>
              <w:pStyle w:val="NoSpacing"/>
              <w:rPr>
                <w:rFonts w:eastAsia="Malgun Gothic" w:cs="Arial"/>
                <w:sz w:val="18"/>
                <w:szCs w:val="18"/>
                <w:lang w:eastAsia="ko-KR"/>
              </w:rPr>
            </w:pPr>
            <w:r w:rsidRPr="00D239ED">
              <w:rPr>
                <w:rFonts w:cs="Arial"/>
                <w:sz w:val="18"/>
                <w:szCs w:val="18"/>
              </w:rPr>
              <w:t xml:space="preserve">Explain that due to unequal ownership of factors of production, the market system may not result in an equitable distribution of </w:t>
            </w:r>
            <w:r>
              <w:rPr>
                <w:rFonts w:cs="Arial"/>
                <w:sz w:val="18"/>
                <w:szCs w:val="18"/>
              </w:rPr>
              <w:t>income.</w:t>
            </w:r>
            <w:r w:rsidRPr="001824F4">
              <w:rPr>
                <w:rFonts w:eastAsia="Malgun Gothic" w:cs="Arial" w:hint="eastAsia"/>
                <w:sz w:val="18"/>
                <w:szCs w:val="18"/>
                <w:lang w:eastAsia="ko-KR"/>
              </w:rPr>
              <w:t xml:space="preserve"> </w:t>
            </w:r>
          </w:p>
          <w:p w:rsidR="00CF6AFC" w:rsidRPr="001824F4" w:rsidRDefault="00CF6AFC" w:rsidP="00CF6AFC">
            <w:pPr>
              <w:pStyle w:val="NoSpacing"/>
              <w:rPr>
                <w:rFonts w:eastAsia="Malgun Gothic" w:cs="Arial"/>
                <w:sz w:val="18"/>
                <w:szCs w:val="18"/>
                <w:lang w:eastAsia="ko-KR"/>
              </w:rPr>
            </w:pPr>
          </w:p>
          <w:p w:rsidR="00CF6AFC" w:rsidRPr="00D239ED" w:rsidRDefault="00CF6AFC" w:rsidP="00CF6AFC">
            <w:pPr>
              <w:pStyle w:val="NoSpacing"/>
              <w:rPr>
                <w:rFonts w:cs="Arial"/>
                <w:sz w:val="18"/>
                <w:szCs w:val="18"/>
              </w:rPr>
            </w:pPr>
            <w:r w:rsidRPr="00D239ED">
              <w:rPr>
                <w:rFonts w:cs="Arial"/>
                <w:sz w:val="18"/>
                <w:szCs w:val="18"/>
              </w:rPr>
              <w:t>Indicators of income equality / inequality</w:t>
            </w:r>
            <w:r w:rsidRPr="00D239ED">
              <w:rPr>
                <w:rFonts w:cs="Arial"/>
                <w:sz w:val="18"/>
                <w:szCs w:val="18"/>
              </w:rPr>
              <w:tab/>
            </w:r>
          </w:p>
          <w:p w:rsidR="00CF6AFC" w:rsidRPr="001824F4" w:rsidRDefault="00CF6AFC" w:rsidP="00CF6AFC">
            <w:pPr>
              <w:pStyle w:val="NoSpacing"/>
              <w:rPr>
                <w:rFonts w:eastAsia="Malgun Gothic" w:cs="Arial"/>
                <w:sz w:val="18"/>
                <w:szCs w:val="18"/>
                <w:lang w:eastAsia="ko-KR"/>
              </w:rPr>
            </w:pPr>
            <w:r w:rsidRPr="00D239ED">
              <w:rPr>
                <w:rFonts w:cs="Arial"/>
                <w:sz w:val="18"/>
                <w:szCs w:val="18"/>
              </w:rPr>
              <w:t>Analyse data on relative income shares of given percentages of the population, i</w:t>
            </w:r>
            <w:r>
              <w:rPr>
                <w:rFonts w:cs="Arial"/>
                <w:sz w:val="18"/>
                <w:szCs w:val="18"/>
              </w:rPr>
              <w:t>ncluding deciles and quintiles.</w:t>
            </w:r>
            <w:r w:rsidRPr="001824F4">
              <w:rPr>
                <w:rFonts w:eastAsia="Malgun Gothic" w:cs="Arial" w:hint="eastAsia"/>
                <w:sz w:val="18"/>
                <w:szCs w:val="18"/>
                <w:lang w:eastAsia="ko-KR"/>
              </w:rPr>
              <w:t xml:space="preserve"> </w:t>
            </w:r>
            <w:r w:rsidRPr="00D239ED">
              <w:rPr>
                <w:rFonts w:cs="Arial"/>
                <w:sz w:val="18"/>
                <w:szCs w:val="18"/>
              </w:rPr>
              <w:t xml:space="preserve">Explain how the Gini coefficient </w:t>
            </w:r>
            <w:r>
              <w:rPr>
                <w:rFonts w:cs="Arial"/>
                <w:sz w:val="18"/>
                <w:szCs w:val="18"/>
              </w:rPr>
              <w:t>is derived and interpreted.</w:t>
            </w: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Distinguish between absolute poverty and relative poverty.</w:t>
            </w:r>
          </w:p>
          <w:p w:rsidR="00CF6AFC" w:rsidRPr="00D239ED" w:rsidRDefault="00CF6AFC" w:rsidP="00CF6AFC">
            <w:pPr>
              <w:pStyle w:val="NoSpacing"/>
              <w:rPr>
                <w:rFonts w:cs="Arial"/>
                <w:sz w:val="18"/>
                <w:szCs w:val="18"/>
              </w:rPr>
            </w:pPr>
            <w:r w:rsidRPr="00D239ED">
              <w:rPr>
                <w:rFonts w:cs="Arial"/>
                <w:sz w:val="18"/>
                <w:szCs w:val="18"/>
              </w:rPr>
              <w:t>Explain possible causes of poverty, including low incomes, unemployment and lack of human capital.</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The relationship</w:t>
            </w:r>
            <w:r>
              <w:rPr>
                <w:rFonts w:cs="Arial"/>
                <w:sz w:val="18"/>
                <w:szCs w:val="18"/>
              </w:rPr>
              <w:t xml:space="preserve"> between equity and efficiency</w:t>
            </w:r>
            <w:r w:rsidRPr="001824F4">
              <w:rPr>
                <w:rFonts w:eastAsia="Malgun Gothic" w:cs="Arial" w:hint="eastAsia"/>
                <w:sz w:val="18"/>
                <w:szCs w:val="18"/>
                <w:lang w:eastAsia="ko-KR"/>
              </w:rPr>
              <w:t xml:space="preserve">. </w:t>
            </w:r>
            <w:r w:rsidRPr="00D239ED">
              <w:rPr>
                <w:rFonts w:cs="Arial"/>
                <w:sz w:val="18"/>
                <w:szCs w:val="18"/>
              </w:rPr>
              <w:t>Evaluate government policies to promote equity (taxation, government expenditure and transfer payments) in terms of their potential positive or negative effects on efficiency in the allocation of resources.</w:t>
            </w:r>
          </w:p>
          <w:p w:rsidR="00CF6AFC" w:rsidRPr="00D239ED" w:rsidRDefault="00CF6AFC" w:rsidP="00CF6AFC">
            <w:pPr>
              <w:pStyle w:val="NoSpacing"/>
              <w:rPr>
                <w:rFonts w:cs="Arial"/>
                <w:sz w:val="18"/>
                <w:szCs w:val="18"/>
              </w:rPr>
            </w:pPr>
          </w:p>
          <w:p w:rsidR="00CF6AFC" w:rsidRPr="00D239ED" w:rsidRDefault="00CF6AFC" w:rsidP="00CF6AFC">
            <w:pPr>
              <w:pStyle w:val="NoSpacing"/>
              <w:rPr>
                <w:rFonts w:cs="Arial"/>
                <w:sz w:val="18"/>
                <w:szCs w:val="18"/>
              </w:rPr>
            </w:pPr>
            <w:r w:rsidRPr="00D239ED">
              <w:rPr>
                <w:rFonts w:cs="Arial"/>
                <w:sz w:val="18"/>
                <w:szCs w:val="18"/>
              </w:rPr>
              <w:t>Fiscal policy</w:t>
            </w: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 xml:space="preserve">The government budget  </w:t>
            </w:r>
            <w:r w:rsidRPr="00D239ED">
              <w:rPr>
                <w:rFonts w:cs="Arial"/>
                <w:sz w:val="18"/>
                <w:szCs w:val="18"/>
              </w:rPr>
              <w:tab/>
              <w:t xml:space="preserve"> </w:t>
            </w:r>
          </w:p>
          <w:p w:rsidR="00CF6AFC" w:rsidRPr="00D239ED" w:rsidRDefault="00CF6AFC" w:rsidP="00CF6AFC">
            <w:pPr>
              <w:pStyle w:val="NoSpacing"/>
              <w:rPr>
                <w:rFonts w:cs="Arial"/>
                <w:sz w:val="18"/>
                <w:szCs w:val="18"/>
              </w:rPr>
            </w:pPr>
            <w:r w:rsidRPr="00D239ED">
              <w:rPr>
                <w:rFonts w:cs="Arial"/>
                <w:sz w:val="18"/>
                <w:szCs w:val="18"/>
              </w:rPr>
              <w:t xml:space="preserve">The role of fiscal policy </w:t>
            </w:r>
          </w:p>
          <w:p w:rsidR="00CF6AFC" w:rsidRPr="00D239ED" w:rsidRDefault="00CF6AFC" w:rsidP="00CF6AFC">
            <w:pPr>
              <w:pStyle w:val="NoSpacing"/>
              <w:rPr>
                <w:rFonts w:cs="Arial"/>
                <w:sz w:val="18"/>
                <w:szCs w:val="18"/>
              </w:rPr>
            </w:pPr>
            <w:r w:rsidRPr="00D239ED">
              <w:rPr>
                <w:rFonts w:cs="Arial"/>
                <w:sz w:val="18"/>
                <w:szCs w:val="18"/>
              </w:rPr>
              <w:t>Monetary policy and Interest rates</w:t>
            </w:r>
            <w:r w:rsidRPr="00D239ED">
              <w:rPr>
                <w:rFonts w:cs="Arial"/>
                <w:sz w:val="18"/>
                <w:szCs w:val="18"/>
              </w:rPr>
              <w:tab/>
              <w:t xml:space="preserve"> </w:t>
            </w:r>
            <w:r w:rsidRPr="00D239ED">
              <w:rPr>
                <w:rFonts w:cs="Arial"/>
                <w:sz w:val="18"/>
                <w:szCs w:val="18"/>
              </w:rPr>
              <w:tab/>
              <w:t xml:space="preserve"> </w:t>
            </w:r>
          </w:p>
          <w:p w:rsidR="00CF6AFC" w:rsidRPr="001824F4" w:rsidRDefault="00CF6AFC" w:rsidP="00CF6AFC">
            <w:pPr>
              <w:pStyle w:val="NoSpacing"/>
              <w:rPr>
                <w:rFonts w:eastAsia="Malgun Gothic" w:cs="Arial"/>
                <w:sz w:val="18"/>
                <w:szCs w:val="18"/>
                <w:lang w:eastAsia="ko-KR"/>
              </w:rPr>
            </w:pPr>
            <w:r w:rsidRPr="00D239ED">
              <w:rPr>
                <w:rFonts w:cs="Arial"/>
                <w:sz w:val="18"/>
                <w:szCs w:val="18"/>
              </w:rPr>
              <w:t xml:space="preserve">The role of monetary policy </w:t>
            </w:r>
            <w:r>
              <w:rPr>
                <w:rFonts w:cs="Arial"/>
                <w:sz w:val="18"/>
                <w:szCs w:val="18"/>
              </w:rPr>
              <w:tab/>
              <w:t xml:space="preserve"> </w:t>
            </w:r>
            <w:r>
              <w:rPr>
                <w:rFonts w:cs="Arial"/>
                <w:sz w:val="18"/>
                <w:szCs w:val="18"/>
              </w:rPr>
              <w:tab/>
              <w:t xml:space="preserve"> </w:t>
            </w:r>
          </w:p>
          <w:p w:rsidR="00CF6AFC" w:rsidRPr="00D239ED" w:rsidRDefault="00CF6AFC" w:rsidP="00CF6AFC">
            <w:pPr>
              <w:pStyle w:val="NoSpacing"/>
              <w:rPr>
                <w:rFonts w:cs="Arial"/>
                <w:sz w:val="18"/>
                <w:szCs w:val="18"/>
              </w:rPr>
            </w:pPr>
            <w:r w:rsidRPr="00D239ED">
              <w:rPr>
                <w:rFonts w:cs="Arial"/>
                <w:sz w:val="18"/>
                <w:szCs w:val="18"/>
              </w:rPr>
              <w:tab/>
            </w:r>
          </w:p>
          <w:p w:rsidR="00CF6AFC" w:rsidRPr="00D239ED" w:rsidRDefault="00CF6AFC" w:rsidP="00CF6AFC">
            <w:pPr>
              <w:pStyle w:val="NoSpacing"/>
              <w:rPr>
                <w:rFonts w:cs="Arial"/>
                <w:sz w:val="18"/>
                <w:szCs w:val="18"/>
              </w:rPr>
            </w:pPr>
            <w:r w:rsidRPr="00D239ED">
              <w:rPr>
                <w:rFonts w:cs="Arial"/>
                <w:sz w:val="18"/>
                <w:szCs w:val="18"/>
              </w:rPr>
              <w:t xml:space="preserve">The role of supply-side policies </w:t>
            </w:r>
            <w:r w:rsidRPr="00D239ED">
              <w:rPr>
                <w:rFonts w:cs="Arial"/>
                <w:sz w:val="18"/>
                <w:szCs w:val="18"/>
              </w:rPr>
              <w:tab/>
              <w:t xml:space="preserve"> </w:t>
            </w:r>
            <w:r w:rsidRPr="00D239ED">
              <w:rPr>
                <w:rFonts w:cs="Arial"/>
                <w:sz w:val="18"/>
                <w:szCs w:val="18"/>
              </w:rPr>
              <w:tab/>
              <w:t xml:space="preserve"> </w:t>
            </w:r>
          </w:p>
          <w:p w:rsidR="00CF6AFC" w:rsidRPr="00D239ED" w:rsidRDefault="00CF6AFC" w:rsidP="00CF6AFC">
            <w:pPr>
              <w:pStyle w:val="NoSpacing"/>
              <w:rPr>
                <w:rFonts w:cs="Arial"/>
                <w:sz w:val="18"/>
                <w:szCs w:val="18"/>
              </w:rPr>
            </w:pPr>
            <w:r w:rsidRPr="00D239ED">
              <w:rPr>
                <w:rFonts w:cs="Arial"/>
                <w:sz w:val="18"/>
                <w:szCs w:val="18"/>
              </w:rPr>
              <w:t xml:space="preserve">Interventionist supply-side policies </w:t>
            </w:r>
            <w:r w:rsidRPr="00D239ED">
              <w:rPr>
                <w:rFonts w:cs="Arial"/>
                <w:sz w:val="18"/>
                <w:szCs w:val="18"/>
              </w:rPr>
              <w:tab/>
              <w:t xml:space="preserve"> </w:t>
            </w:r>
          </w:p>
          <w:p w:rsidR="00CF6AFC" w:rsidRPr="00D239ED" w:rsidRDefault="00CF6AFC" w:rsidP="00CF6AFC">
            <w:pPr>
              <w:pStyle w:val="NoSpacing"/>
              <w:rPr>
                <w:rFonts w:cs="Arial"/>
                <w:sz w:val="18"/>
                <w:szCs w:val="18"/>
              </w:rPr>
            </w:pPr>
            <w:r w:rsidRPr="00D239ED">
              <w:rPr>
                <w:rFonts w:cs="Arial"/>
                <w:sz w:val="18"/>
                <w:szCs w:val="18"/>
              </w:rPr>
              <w:t>Market-based supply-side policies</w:t>
            </w:r>
            <w:r w:rsidRPr="00D239ED">
              <w:rPr>
                <w:rFonts w:cs="Arial"/>
                <w:sz w:val="18"/>
                <w:szCs w:val="18"/>
              </w:rPr>
              <w:tab/>
              <w:t xml:space="preserve"> </w:t>
            </w:r>
          </w:p>
          <w:p w:rsidR="00CF6AFC" w:rsidRPr="00CF6AFC" w:rsidRDefault="00CF6AFC" w:rsidP="00CF6AFC">
            <w:pPr>
              <w:rPr>
                <w:b/>
              </w:rPr>
            </w:pPr>
            <w:r w:rsidRPr="00CF6AFC">
              <w:rPr>
                <w:rFonts w:cs="Arial"/>
                <w:sz w:val="18"/>
                <w:szCs w:val="18"/>
              </w:rPr>
              <w:t>Evaluation of supply-side policies</w:t>
            </w:r>
          </w:p>
          <w:p w:rsidR="008C6850" w:rsidRDefault="008C6850" w:rsidP="00CF6AFC">
            <w:pPr>
              <w:pStyle w:val="ListParagraph"/>
              <w:ind w:left="480"/>
            </w:pPr>
          </w:p>
        </w:tc>
        <w:tc>
          <w:tcPr>
            <w:tcW w:w="7079" w:type="dxa"/>
            <w:shd w:val="clear" w:color="auto" w:fill="auto"/>
          </w:tcPr>
          <w:p w:rsidR="00CF6AFC" w:rsidRPr="00CF6AFC" w:rsidRDefault="008C6850" w:rsidP="00CF6AFC">
            <w:pPr>
              <w:jc w:val="both"/>
              <w:rPr>
                <w:rFonts w:ascii="Arial" w:hAnsi="Arial" w:cs="Arial"/>
                <w:b/>
                <w:sz w:val="18"/>
                <w:szCs w:val="18"/>
              </w:rPr>
            </w:pPr>
            <w:r w:rsidRPr="00CF6AFC">
              <w:rPr>
                <w:rFonts w:ascii="Arial" w:hAnsi="Arial" w:cs="Arial"/>
                <w:b/>
              </w:rPr>
              <w:lastRenderedPageBreak/>
              <w:t>Essential Skills:</w:t>
            </w:r>
            <w:r w:rsidR="001B71A7" w:rsidRPr="00CF6AFC">
              <w:rPr>
                <w:rFonts w:ascii="Arial" w:hAnsi="Arial" w:cs="Arial"/>
                <w:b/>
              </w:rPr>
              <w:t xml:space="preserve"> </w:t>
            </w:r>
            <w:r w:rsidR="001B71A7" w:rsidRPr="00CF6AFC">
              <w:rPr>
                <w:rFonts w:ascii="Arial" w:hAnsi="Arial" w:cs="Arial"/>
                <w:b/>
                <w:sz w:val="18"/>
                <w:szCs w:val="18"/>
              </w:rPr>
              <w:t>(including: ICT, Information</w:t>
            </w:r>
            <w:r w:rsidR="008C7983" w:rsidRPr="00CF6AFC">
              <w:rPr>
                <w:rFonts w:ascii="Arial" w:hAnsi="Arial" w:cs="Arial"/>
                <w:b/>
                <w:sz w:val="18"/>
                <w:szCs w:val="18"/>
              </w:rPr>
              <w:t xml:space="preserve"> Literacy and Academic Honesty) – these may be beyond those identified below as the essential ATL skills to be developed in the Unit</w:t>
            </w:r>
          </w:p>
          <w:p w:rsidR="00CF6AFC" w:rsidRPr="00CF6AFC" w:rsidRDefault="00CF6AFC" w:rsidP="00CF6AFC">
            <w:pPr>
              <w:jc w:val="both"/>
              <w:rPr>
                <w:rFonts w:ascii="Arial" w:hAnsi="Arial" w:cs="Arial"/>
                <w:b/>
                <w:sz w:val="18"/>
                <w:szCs w:val="18"/>
              </w:rPr>
            </w:pPr>
          </w:p>
          <w:p w:rsidR="00CF6AFC" w:rsidRPr="00CF6AFC" w:rsidRDefault="00CF6AFC" w:rsidP="00CF6AFC">
            <w:pPr>
              <w:jc w:val="both"/>
              <w:rPr>
                <w:rFonts w:ascii="Arial" w:hAnsi="Arial" w:cs="Arial"/>
                <w:sz w:val="18"/>
                <w:szCs w:val="18"/>
              </w:rPr>
            </w:pPr>
            <w:r w:rsidRPr="00CF6AFC">
              <w:rPr>
                <w:rFonts w:ascii="Arial" w:hAnsi="Arial" w:cs="Arial"/>
                <w:sz w:val="18"/>
                <w:szCs w:val="18"/>
              </w:rPr>
              <w:t xml:space="preserve">Using national income statistics, including their use for </w:t>
            </w:r>
          </w:p>
          <w:p w:rsidR="00CF6AFC" w:rsidRPr="00CF6AFC" w:rsidRDefault="00CF6AFC" w:rsidP="00CF6AFC">
            <w:pPr>
              <w:jc w:val="both"/>
              <w:rPr>
                <w:rFonts w:ascii="Arial" w:hAnsi="Arial" w:cs="Arial"/>
                <w:sz w:val="18"/>
                <w:szCs w:val="18"/>
              </w:rPr>
            </w:pPr>
          </w:p>
          <w:p w:rsidR="00CF6AFC" w:rsidRPr="00CF6AFC" w:rsidRDefault="00CF6AFC" w:rsidP="00CF6AFC">
            <w:pPr>
              <w:pStyle w:val="ListParagraph"/>
              <w:numPr>
                <w:ilvl w:val="0"/>
                <w:numId w:val="13"/>
              </w:numPr>
              <w:jc w:val="both"/>
              <w:rPr>
                <w:rFonts w:ascii="Arial" w:hAnsi="Arial" w:cs="Arial"/>
                <w:b/>
                <w:sz w:val="18"/>
                <w:szCs w:val="18"/>
              </w:rPr>
            </w:pPr>
            <w:r w:rsidRPr="00CF6AFC">
              <w:rPr>
                <w:rFonts w:ascii="Arial" w:hAnsi="Arial" w:cs="Arial"/>
                <w:sz w:val="18"/>
                <w:szCs w:val="18"/>
              </w:rPr>
              <w:t xml:space="preserve">making comparisons over time, </w:t>
            </w:r>
          </w:p>
          <w:p w:rsidR="00CF6AFC" w:rsidRPr="00CF6AFC" w:rsidRDefault="00CF6AFC" w:rsidP="00CF6AFC">
            <w:pPr>
              <w:pStyle w:val="ListParagraph"/>
              <w:numPr>
                <w:ilvl w:val="0"/>
                <w:numId w:val="13"/>
              </w:numPr>
              <w:jc w:val="both"/>
              <w:rPr>
                <w:rFonts w:ascii="Arial" w:hAnsi="Arial" w:cs="Arial"/>
                <w:b/>
                <w:sz w:val="18"/>
                <w:szCs w:val="18"/>
              </w:rPr>
            </w:pPr>
            <w:r w:rsidRPr="00CF6AFC">
              <w:rPr>
                <w:rFonts w:ascii="Arial" w:hAnsi="Arial" w:cs="Arial"/>
                <w:sz w:val="18"/>
                <w:szCs w:val="18"/>
              </w:rPr>
              <w:t xml:space="preserve">their use for making comparisons between countries and </w:t>
            </w:r>
          </w:p>
          <w:p w:rsidR="00CF6AFC" w:rsidRPr="00CF6AFC" w:rsidRDefault="00CF6AFC" w:rsidP="00CF6AFC">
            <w:pPr>
              <w:pStyle w:val="ListParagraph"/>
              <w:numPr>
                <w:ilvl w:val="0"/>
                <w:numId w:val="13"/>
              </w:numPr>
              <w:jc w:val="both"/>
              <w:rPr>
                <w:rFonts w:ascii="Arial" w:hAnsi="Arial" w:cs="Arial"/>
                <w:b/>
                <w:sz w:val="18"/>
                <w:szCs w:val="18"/>
              </w:rPr>
            </w:pPr>
            <w:proofErr w:type="gramStart"/>
            <w:r w:rsidRPr="00CF6AFC">
              <w:rPr>
                <w:rFonts w:ascii="Arial" w:hAnsi="Arial" w:cs="Arial"/>
                <w:sz w:val="18"/>
                <w:szCs w:val="18"/>
              </w:rPr>
              <w:t>their</w:t>
            </w:r>
            <w:proofErr w:type="gramEnd"/>
            <w:r w:rsidRPr="00CF6AFC">
              <w:rPr>
                <w:rFonts w:ascii="Arial" w:hAnsi="Arial" w:cs="Arial"/>
                <w:sz w:val="18"/>
                <w:szCs w:val="18"/>
              </w:rPr>
              <w:t xml:space="preserve"> use for making conclusions about standards of living. </w:t>
            </w:r>
          </w:p>
          <w:p w:rsidR="00CF6AFC" w:rsidRPr="001824F4" w:rsidRDefault="00CF6AFC" w:rsidP="00CF6AFC">
            <w:pPr>
              <w:pStyle w:val="NoSpacing"/>
              <w:rPr>
                <w:rFonts w:eastAsia="Malgun Gothic" w:cs="Arial"/>
                <w:sz w:val="18"/>
                <w:szCs w:val="18"/>
                <w:lang w:eastAsia="ko-KR"/>
              </w:rPr>
            </w:pPr>
          </w:p>
          <w:p w:rsidR="008C6850" w:rsidRDefault="008C6850" w:rsidP="00CF6AFC">
            <w:pPr>
              <w:jc w:val="both"/>
            </w:pP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Resources</w:t>
            </w:r>
            <w:r>
              <w:rPr>
                <w:b/>
                <w:sz w:val="28"/>
              </w:rPr>
              <w:t xml:space="preserve"> </w:t>
            </w:r>
          </w:p>
        </w:tc>
      </w:tr>
      <w:tr w:rsidR="008C6850" w:rsidTr="008C6850">
        <w:tc>
          <w:tcPr>
            <w:tcW w:w="14157" w:type="dxa"/>
            <w:shd w:val="clear" w:color="auto" w:fill="auto"/>
          </w:tcPr>
          <w:p w:rsidR="008C6850" w:rsidRPr="004D50FD" w:rsidRDefault="008C6850" w:rsidP="008C6850">
            <w:pPr>
              <w:rPr>
                <w:b/>
              </w:rPr>
            </w:pPr>
          </w:p>
          <w:p w:rsidR="008C6850" w:rsidRDefault="008C6850" w:rsidP="008C6850">
            <w:pPr>
              <w:jc w:val="both"/>
            </w:pP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8170"/>
        <w:gridCol w:w="1787"/>
        <w:gridCol w:w="3992"/>
      </w:tblGrid>
      <w:tr w:rsidR="00BE7F68" w:rsidTr="008C6850">
        <w:tc>
          <w:tcPr>
            <w:tcW w:w="8298" w:type="dxa"/>
            <w:tcBorders>
              <w:bottom w:val="nil"/>
            </w:tcBorders>
            <w:shd w:val="clear" w:color="auto" w:fill="auto"/>
            <w:vAlign w:val="center"/>
          </w:tcPr>
          <w:p w:rsidR="001B71A7" w:rsidRDefault="001B71A7" w:rsidP="008C6850">
            <w:pPr>
              <w:jc w:val="both"/>
              <w:rPr>
                <w:b/>
                <w:sz w:val="32"/>
              </w:rPr>
            </w:pPr>
            <w:r>
              <w:rPr>
                <w:b/>
                <w:sz w:val="32"/>
              </w:rPr>
              <w:t>Assessment instruments used</w:t>
            </w:r>
          </w:p>
          <w:p w:rsidR="00BE7F68" w:rsidRPr="000C3DA9" w:rsidRDefault="001B71A7" w:rsidP="008C6850">
            <w:pPr>
              <w:jc w:val="both"/>
              <w:rPr>
                <w:b/>
                <w:sz w:val="28"/>
              </w:rPr>
            </w:pPr>
            <w:r>
              <w:rPr>
                <w:b/>
                <w:sz w:val="32"/>
              </w:rPr>
              <w:t>Formative/</w:t>
            </w:r>
            <w:r w:rsidR="00BE7F68" w:rsidRPr="009E6871">
              <w:rPr>
                <w:b/>
                <w:sz w:val="32"/>
              </w:rPr>
              <w:t>Summative Assessment</w:t>
            </w:r>
            <w:r>
              <w:rPr>
                <w:b/>
                <w:sz w:val="32"/>
              </w:rPr>
              <w:t xml:space="preserve"> (IA)</w:t>
            </w:r>
            <w:r w:rsidR="00BE7F68" w:rsidRPr="009E6871">
              <w:rPr>
                <w:b/>
                <w:sz w:val="32"/>
              </w:rPr>
              <w:t>/ Culminating Task(s)</w:t>
            </w:r>
          </w:p>
        </w:tc>
        <w:tc>
          <w:tcPr>
            <w:tcW w:w="1800" w:type="dxa"/>
            <w:vMerge w:val="restart"/>
            <w:shd w:val="clear" w:color="auto" w:fill="auto"/>
            <w:vAlign w:val="center"/>
          </w:tcPr>
          <w:p w:rsidR="00BE7F68" w:rsidRPr="000C3DA9" w:rsidRDefault="00BE7F68" w:rsidP="008C6850">
            <w:pPr>
              <w:jc w:val="center"/>
              <w:rPr>
                <w:b/>
              </w:rPr>
            </w:pPr>
            <w:r w:rsidRPr="000C3DA9">
              <w:rPr>
                <w:b/>
              </w:rPr>
              <w:t>Content/ Exam preparation</w:t>
            </w:r>
          </w:p>
        </w:tc>
        <w:tc>
          <w:tcPr>
            <w:tcW w:w="4059" w:type="dxa"/>
            <w:shd w:val="clear" w:color="auto" w:fill="auto"/>
            <w:vAlign w:val="center"/>
          </w:tcPr>
          <w:p w:rsidR="00BE7F68" w:rsidRPr="000C3DA9" w:rsidRDefault="001B71A7" w:rsidP="008C6850">
            <w:pPr>
              <w:jc w:val="center"/>
              <w:rPr>
                <w:b/>
              </w:rPr>
            </w:pPr>
            <w:r>
              <w:rPr>
                <w:b/>
              </w:rPr>
              <w:t>Internal Assessment Requirement</w:t>
            </w:r>
          </w:p>
        </w:tc>
      </w:tr>
      <w:tr w:rsidR="001B71A7" w:rsidTr="008C7983">
        <w:tc>
          <w:tcPr>
            <w:tcW w:w="8298" w:type="dxa"/>
            <w:tcBorders>
              <w:top w:val="nil"/>
            </w:tcBorders>
            <w:shd w:val="clear" w:color="auto" w:fill="auto"/>
            <w:vAlign w:val="center"/>
          </w:tcPr>
          <w:p w:rsidR="001B71A7" w:rsidRDefault="001B71A7" w:rsidP="008C6850">
            <w:pPr>
              <w:jc w:val="both"/>
            </w:pPr>
            <w:r>
              <w:t>Task &amp; Description</w:t>
            </w:r>
          </w:p>
        </w:tc>
        <w:tc>
          <w:tcPr>
            <w:tcW w:w="1800" w:type="dxa"/>
            <w:vMerge/>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r>
              <w:t>IA type description</w:t>
            </w:r>
          </w:p>
        </w:tc>
      </w:tr>
      <w:tr w:rsidR="001B71A7" w:rsidTr="008C7983">
        <w:tc>
          <w:tcPr>
            <w:tcW w:w="8298" w:type="dxa"/>
            <w:shd w:val="clear" w:color="auto" w:fill="auto"/>
            <w:vAlign w:val="center"/>
          </w:tcPr>
          <w:p w:rsidR="001B71A7" w:rsidRDefault="00CF6AFC" w:rsidP="008C6850">
            <w:pPr>
              <w:jc w:val="both"/>
            </w:pPr>
            <w:r>
              <w:t>IA Commentary on Economics News Article</w:t>
            </w:r>
          </w:p>
        </w:tc>
        <w:tc>
          <w:tcPr>
            <w:tcW w:w="1800" w:type="dxa"/>
            <w:shd w:val="clear" w:color="auto" w:fill="auto"/>
            <w:vAlign w:val="center"/>
          </w:tcPr>
          <w:p w:rsidR="001B71A7" w:rsidRDefault="001B71A7" w:rsidP="008C6850">
            <w:pPr>
              <w:jc w:val="center"/>
            </w:pPr>
            <w:r>
              <w:t>x</w:t>
            </w:r>
          </w:p>
        </w:tc>
        <w:tc>
          <w:tcPr>
            <w:tcW w:w="4059" w:type="dxa"/>
            <w:shd w:val="clear" w:color="auto" w:fill="auto"/>
            <w:vAlign w:val="center"/>
          </w:tcPr>
          <w:p w:rsidR="001B71A7" w:rsidRDefault="00CF6AFC" w:rsidP="008C6850">
            <w:pPr>
              <w:jc w:val="center"/>
            </w:pPr>
            <w:r>
              <w:t>Commentary 2</w:t>
            </w:r>
          </w:p>
        </w:tc>
      </w:tr>
      <w:tr w:rsidR="001B71A7" w:rsidTr="008C7983">
        <w:tc>
          <w:tcPr>
            <w:tcW w:w="8298" w:type="dxa"/>
            <w:shd w:val="clear" w:color="auto" w:fill="auto"/>
            <w:vAlign w:val="center"/>
          </w:tcPr>
          <w:p w:rsidR="001B71A7" w:rsidRDefault="001B71A7" w:rsidP="008C6850">
            <w:pPr>
              <w:jc w:val="both"/>
            </w:pPr>
          </w:p>
        </w:tc>
        <w:tc>
          <w:tcPr>
            <w:tcW w:w="1800" w:type="dxa"/>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p>
        </w:tc>
      </w:tr>
      <w:tr w:rsidR="001B71A7" w:rsidTr="008C7983">
        <w:tc>
          <w:tcPr>
            <w:tcW w:w="8298" w:type="dxa"/>
            <w:shd w:val="clear" w:color="auto" w:fill="auto"/>
            <w:vAlign w:val="center"/>
          </w:tcPr>
          <w:p w:rsidR="001B71A7" w:rsidRDefault="001B71A7" w:rsidP="008C6850">
            <w:pPr>
              <w:jc w:val="both"/>
            </w:pPr>
          </w:p>
        </w:tc>
        <w:tc>
          <w:tcPr>
            <w:tcW w:w="1800" w:type="dxa"/>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p>
        </w:tc>
      </w:tr>
    </w:tbl>
    <w:p w:rsidR="00217D24" w:rsidRDefault="00217D24" w:rsidP="008C6850">
      <w:pPr>
        <w:spacing w:after="0" w:line="240" w:lineRule="auto"/>
      </w:pPr>
    </w:p>
    <w:tbl>
      <w:tblPr>
        <w:tblStyle w:val="TableGrid"/>
        <w:tblW w:w="14142" w:type="dxa"/>
        <w:tblLayout w:type="fixed"/>
        <w:tblLook w:val="04A0" w:firstRow="1" w:lastRow="0" w:firstColumn="1" w:lastColumn="0" w:noHBand="0" w:noVBand="1"/>
      </w:tblPr>
      <w:tblGrid>
        <w:gridCol w:w="6768"/>
        <w:gridCol w:w="7374"/>
      </w:tblGrid>
      <w:tr w:rsidR="00217D24" w:rsidRPr="00B900C6" w:rsidTr="001B71A7">
        <w:trPr>
          <w:trHeight w:val="278"/>
        </w:trPr>
        <w:tc>
          <w:tcPr>
            <w:tcW w:w="14142" w:type="dxa"/>
            <w:gridSpan w:val="2"/>
            <w:tcBorders>
              <w:bottom w:val="single" w:sz="4" w:space="0" w:color="000000" w:themeColor="text1"/>
            </w:tcBorders>
            <w:shd w:val="clear" w:color="auto" w:fill="auto"/>
            <w:vAlign w:val="center"/>
          </w:tcPr>
          <w:p w:rsidR="00217D24" w:rsidRPr="00B900C6" w:rsidRDefault="00217D24" w:rsidP="008C6850">
            <w:pPr>
              <w:jc w:val="both"/>
              <w:rPr>
                <w:b/>
              </w:rPr>
            </w:pPr>
            <w:r w:rsidRPr="008936C9">
              <w:rPr>
                <w:b/>
                <w:sz w:val="32"/>
              </w:rPr>
              <w:lastRenderedPageBreak/>
              <w:t>Making Connections</w:t>
            </w:r>
          </w:p>
        </w:tc>
      </w:tr>
      <w:tr w:rsidR="00217D24" w:rsidRPr="00B900C6" w:rsidTr="001B71A7">
        <w:trPr>
          <w:trHeight w:val="287"/>
        </w:trPr>
        <w:tc>
          <w:tcPr>
            <w:tcW w:w="6768" w:type="dxa"/>
            <w:shd w:val="clear" w:color="auto" w:fill="auto"/>
            <w:vAlign w:val="center"/>
          </w:tcPr>
          <w:p w:rsidR="00217D24" w:rsidRPr="00B900C6" w:rsidRDefault="000C3DA9" w:rsidP="008C6850">
            <w:pPr>
              <w:jc w:val="both"/>
              <w:rPr>
                <w:b/>
              </w:rPr>
            </w:pPr>
            <w:r w:rsidRPr="00B900C6">
              <w:rPr>
                <w:b/>
              </w:rPr>
              <w:t xml:space="preserve">Links with </w:t>
            </w:r>
            <w:proofErr w:type="spellStart"/>
            <w:r w:rsidRPr="00B900C6">
              <w:rPr>
                <w:b/>
              </w:rPr>
              <w:t>ToK</w:t>
            </w:r>
            <w:proofErr w:type="spellEnd"/>
            <w:r>
              <w:rPr>
                <w:b/>
              </w:rPr>
              <w:t xml:space="preserve"> </w:t>
            </w:r>
            <w:r w:rsidRPr="00B900C6">
              <w:rPr>
                <w:i/>
                <w:sz w:val="16"/>
              </w:rPr>
              <w:t>(</w:t>
            </w:r>
            <w:r>
              <w:rPr>
                <w:i/>
                <w:sz w:val="16"/>
              </w:rPr>
              <w:t xml:space="preserve">possible links – can it be communicated to </w:t>
            </w:r>
            <w:proofErr w:type="spellStart"/>
            <w:r>
              <w:rPr>
                <w:i/>
                <w:sz w:val="16"/>
              </w:rPr>
              <w:t>ToK</w:t>
            </w:r>
            <w:proofErr w:type="spellEnd"/>
            <w:r>
              <w:rPr>
                <w:i/>
                <w:sz w:val="16"/>
              </w:rPr>
              <w:t xml:space="preserve"> teachers?)</w:t>
            </w:r>
          </w:p>
        </w:tc>
        <w:tc>
          <w:tcPr>
            <w:tcW w:w="7374" w:type="dxa"/>
            <w:shd w:val="clear" w:color="auto" w:fill="auto"/>
            <w:vAlign w:val="center"/>
          </w:tcPr>
          <w:p w:rsidR="00217D24" w:rsidRPr="00B900C6" w:rsidRDefault="00217D24" w:rsidP="008C6850">
            <w:pPr>
              <w:jc w:val="both"/>
              <w:rPr>
                <w:b/>
              </w:rPr>
            </w:pPr>
            <w:r>
              <w:rPr>
                <w:b/>
              </w:rPr>
              <w:t>How c</w:t>
            </w:r>
            <w:r w:rsidRPr="00B900C6">
              <w:rPr>
                <w:b/>
              </w:rPr>
              <w:t xml:space="preserve">an this unit </w:t>
            </w:r>
            <w:r w:rsidR="000C3DA9" w:rsidRPr="000C3DA9">
              <w:rPr>
                <w:b/>
                <w:i/>
              </w:rPr>
              <w:t xml:space="preserve">support </w:t>
            </w:r>
            <w:r w:rsidR="000C3DA9">
              <w:rPr>
                <w:b/>
              </w:rPr>
              <w:t xml:space="preserve">or </w:t>
            </w:r>
            <w:r w:rsidRPr="00CA7EF4">
              <w:rPr>
                <w:b/>
                <w:i/>
              </w:rPr>
              <w:t>be supported by</w:t>
            </w:r>
            <w:r w:rsidRPr="00B900C6">
              <w:rPr>
                <w:b/>
              </w:rPr>
              <w:t xml:space="preserve"> other subject areas?</w:t>
            </w:r>
          </w:p>
        </w:tc>
      </w:tr>
      <w:tr w:rsidR="00217D24" w:rsidTr="001B71A7">
        <w:trPr>
          <w:trHeight w:val="746"/>
        </w:trPr>
        <w:tc>
          <w:tcPr>
            <w:tcW w:w="6768" w:type="dxa"/>
            <w:shd w:val="clear" w:color="auto" w:fill="auto"/>
            <w:vAlign w:val="center"/>
          </w:tcPr>
          <w:p w:rsidR="00217D24" w:rsidRDefault="00CF6AFC" w:rsidP="00CF6AFC">
            <w:pPr>
              <w:pStyle w:val="NoSpacing"/>
              <w:rPr>
                <w:rFonts w:cs="Arial"/>
                <w:sz w:val="18"/>
                <w:szCs w:val="18"/>
              </w:rPr>
            </w:pPr>
            <w:r>
              <w:rPr>
                <w:rFonts w:cs="Arial"/>
                <w:sz w:val="18"/>
                <w:szCs w:val="18"/>
              </w:rPr>
              <w:t>Looking at alternative views of AD and AS</w:t>
            </w:r>
          </w:p>
          <w:p w:rsidR="00CF6AFC" w:rsidRPr="00CF6AFC" w:rsidRDefault="00CF6AFC" w:rsidP="00CF6AFC">
            <w:pPr>
              <w:pStyle w:val="NoSpacing"/>
              <w:rPr>
                <w:rFonts w:eastAsia="Malgun Gothic" w:cs="Arial"/>
                <w:sz w:val="18"/>
                <w:szCs w:val="18"/>
                <w:lang w:eastAsia="ko-KR"/>
              </w:rPr>
            </w:pPr>
            <w:r w:rsidRPr="00D239ED">
              <w:rPr>
                <w:rFonts w:cs="Arial"/>
                <w:sz w:val="18"/>
                <w:szCs w:val="18"/>
              </w:rPr>
              <w:t>Discuss the possible consequences of deflation, including high levels of cyclical</w:t>
            </w:r>
            <w:r>
              <w:rPr>
                <w:rFonts w:cs="Arial"/>
                <w:sz w:val="18"/>
                <w:szCs w:val="18"/>
              </w:rPr>
              <w:t xml:space="preserve"> unemployment and bankruptcies.</w:t>
            </w:r>
          </w:p>
          <w:p w:rsidR="00CF6AFC" w:rsidRDefault="00CF6AFC" w:rsidP="00CF6AFC">
            <w:pPr>
              <w:pStyle w:val="NoSpacing"/>
              <w:rPr>
                <w:rFonts w:cs="Arial"/>
                <w:sz w:val="18"/>
                <w:szCs w:val="18"/>
              </w:rPr>
            </w:pPr>
            <w:r w:rsidRPr="00D239ED">
              <w:rPr>
                <w:rFonts w:cs="Arial"/>
                <w:sz w:val="18"/>
                <w:szCs w:val="18"/>
              </w:rPr>
              <w:t>Distinguish between absolute poverty and relative poverty.</w:t>
            </w:r>
          </w:p>
          <w:p w:rsidR="00CF6AFC" w:rsidRPr="00CF6AFC" w:rsidRDefault="00CF6AFC" w:rsidP="00CF6AFC">
            <w:pPr>
              <w:pStyle w:val="NoSpacing"/>
              <w:rPr>
                <w:rFonts w:cs="Arial"/>
                <w:sz w:val="18"/>
                <w:szCs w:val="18"/>
              </w:rPr>
            </w:pPr>
          </w:p>
        </w:tc>
        <w:tc>
          <w:tcPr>
            <w:tcW w:w="7374" w:type="dxa"/>
            <w:shd w:val="clear" w:color="auto" w:fill="auto"/>
            <w:vAlign w:val="center"/>
          </w:tcPr>
          <w:p w:rsidR="00217D24" w:rsidRDefault="00CF6AFC" w:rsidP="008C6850">
            <w:pPr>
              <w:pStyle w:val="ListParagraph"/>
              <w:numPr>
                <w:ilvl w:val="0"/>
                <w:numId w:val="4"/>
              </w:numPr>
              <w:jc w:val="both"/>
            </w:pPr>
            <w:r>
              <w:t>The discussion on poverty and its causes may link in very well with discussions on poverty and in English A and History.</w:t>
            </w:r>
          </w:p>
        </w:tc>
      </w:tr>
    </w:tbl>
    <w:p w:rsidR="00BE7F68" w:rsidRDefault="00BE7F68"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International mindedness</w:t>
            </w:r>
            <w:r>
              <w:rPr>
                <w:b/>
                <w:sz w:val="28"/>
              </w:rPr>
              <w:t xml:space="preserve"> </w:t>
            </w:r>
          </w:p>
        </w:tc>
      </w:tr>
      <w:tr w:rsidR="008C6850" w:rsidTr="008C6850">
        <w:tc>
          <w:tcPr>
            <w:tcW w:w="14157" w:type="dxa"/>
            <w:shd w:val="clear" w:color="auto" w:fill="auto"/>
          </w:tcPr>
          <w:p w:rsidR="008C6850" w:rsidRDefault="008C6850" w:rsidP="008C6850">
            <w:pPr>
              <w:rPr>
                <w:b/>
              </w:rPr>
            </w:pPr>
            <w:r>
              <w:rPr>
                <w:b/>
              </w:rPr>
              <w:t xml:space="preserve">How could students </w:t>
            </w:r>
            <w:proofErr w:type="spellStart"/>
            <w:r>
              <w:rPr>
                <w:b/>
              </w:rPr>
              <w:t>analyse</w:t>
            </w:r>
            <w:proofErr w:type="spellEnd"/>
            <w:r>
              <w:rPr>
                <w:b/>
              </w:rPr>
              <w:t xml:space="preserve"> different cultural </w:t>
            </w:r>
            <w:proofErr w:type="spellStart"/>
            <w:r>
              <w:rPr>
                <w:b/>
              </w:rPr>
              <w:t>persectives</w:t>
            </w:r>
            <w:proofErr w:type="spellEnd"/>
          </w:p>
          <w:p w:rsidR="008C6850" w:rsidRPr="00CF6AFC" w:rsidRDefault="00CF6AFC" w:rsidP="008C6850">
            <w:pPr>
              <w:jc w:val="both"/>
            </w:pPr>
            <w:r w:rsidRPr="00CF6AFC">
              <w:t>Students will discuss how global markets have a direct impact on the economy of a single country, particularly in terms of net exports, and inflationary and deflationary gaps.</w:t>
            </w: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2522"/>
        <w:gridCol w:w="2155"/>
        <w:gridCol w:w="2054"/>
        <w:gridCol w:w="7218"/>
      </w:tblGrid>
      <w:tr w:rsidR="006B2B1B" w:rsidTr="008C6850">
        <w:tc>
          <w:tcPr>
            <w:tcW w:w="14157" w:type="dxa"/>
            <w:gridSpan w:val="4"/>
            <w:tcBorders>
              <w:bottom w:val="single" w:sz="4" w:space="0" w:color="000000" w:themeColor="text1"/>
            </w:tcBorders>
            <w:shd w:val="clear" w:color="auto" w:fill="auto"/>
          </w:tcPr>
          <w:p w:rsidR="006B2B1B" w:rsidRPr="009E6871" w:rsidRDefault="006B2B1B" w:rsidP="008C6850">
            <w:pPr>
              <w:rPr>
                <w:b/>
                <w:sz w:val="32"/>
              </w:rPr>
            </w:pPr>
            <w:r w:rsidRPr="009E6871">
              <w:rPr>
                <w:b/>
                <w:i/>
                <w:sz w:val="32"/>
              </w:rPr>
              <w:t xml:space="preserve">Approaches to Learning </w:t>
            </w:r>
            <w:r w:rsidRPr="009E6871">
              <w:rPr>
                <w:b/>
                <w:sz w:val="32"/>
              </w:rPr>
              <w:t xml:space="preserve">and the </w:t>
            </w:r>
            <w:r w:rsidRPr="009E6871">
              <w:rPr>
                <w:b/>
                <w:i/>
                <w:sz w:val="32"/>
              </w:rPr>
              <w:t>Learner Profile</w:t>
            </w:r>
          </w:p>
        </w:tc>
      </w:tr>
      <w:tr w:rsidR="006B2B1B" w:rsidTr="008C6850">
        <w:tc>
          <w:tcPr>
            <w:tcW w:w="2538" w:type="dxa"/>
            <w:shd w:val="clear" w:color="auto" w:fill="auto"/>
          </w:tcPr>
          <w:p w:rsidR="006B2B1B" w:rsidRPr="006B2B1B" w:rsidRDefault="006B2B1B" w:rsidP="008C6850">
            <w:pPr>
              <w:rPr>
                <w:i/>
              </w:rPr>
            </w:pPr>
            <w:r w:rsidRPr="006B2B1B">
              <w:rPr>
                <w:i/>
              </w:rPr>
              <w:t>Approaches to Learning</w:t>
            </w:r>
          </w:p>
        </w:tc>
        <w:tc>
          <w:tcPr>
            <w:tcW w:w="4230" w:type="dxa"/>
            <w:gridSpan w:val="2"/>
            <w:tcBorders>
              <w:bottom w:val="single" w:sz="4" w:space="0" w:color="000000" w:themeColor="text1"/>
            </w:tcBorders>
            <w:shd w:val="clear" w:color="auto" w:fill="auto"/>
          </w:tcPr>
          <w:p w:rsidR="006B2B1B" w:rsidRDefault="006B2B1B" w:rsidP="008C6850">
            <w:r w:rsidRPr="006B2B1B">
              <w:rPr>
                <w:i/>
              </w:rPr>
              <w:t>Learner Profile</w:t>
            </w:r>
            <w:r>
              <w:t xml:space="preserve"> Attributes</w:t>
            </w:r>
          </w:p>
        </w:tc>
        <w:tc>
          <w:tcPr>
            <w:tcW w:w="7389" w:type="dxa"/>
            <w:shd w:val="clear" w:color="auto" w:fill="auto"/>
          </w:tcPr>
          <w:p w:rsidR="006B2B1B" w:rsidRDefault="006B2B1B" w:rsidP="00D06138">
            <w:r>
              <w:t xml:space="preserve">How will the checked attributes be </w:t>
            </w:r>
            <w:r w:rsidRPr="006B2B1B">
              <w:rPr>
                <w:u w:val="single"/>
              </w:rPr>
              <w:t xml:space="preserve">explicitly </w:t>
            </w:r>
            <w:r w:rsidR="00D06138">
              <w:rPr>
                <w:u w:val="single"/>
              </w:rPr>
              <w:t>taught</w:t>
            </w:r>
            <w:r w:rsidRPr="006B2B1B">
              <w:rPr>
                <w:u w:val="single"/>
              </w:rPr>
              <w:t xml:space="preserve"> </w:t>
            </w:r>
            <w:r w:rsidR="00D06138">
              <w:rPr>
                <w:u w:val="single"/>
              </w:rPr>
              <w:t xml:space="preserve">and assessed </w:t>
            </w:r>
            <w:r>
              <w:t xml:space="preserve">in the unit? </w:t>
            </w:r>
          </w:p>
        </w:tc>
      </w:tr>
      <w:tr w:rsidR="006B2B1B" w:rsidTr="008C6850">
        <w:tc>
          <w:tcPr>
            <w:tcW w:w="2538" w:type="dxa"/>
            <w:shd w:val="clear" w:color="auto" w:fill="auto"/>
          </w:tcPr>
          <w:p w:rsidR="006B2B1B" w:rsidRPr="006B2B1B" w:rsidRDefault="006B2B1B" w:rsidP="008C6850">
            <w:pPr>
              <w:pStyle w:val="ListParagraph"/>
              <w:numPr>
                <w:ilvl w:val="0"/>
                <w:numId w:val="6"/>
              </w:numPr>
              <w:rPr>
                <w:sz w:val="20"/>
              </w:rPr>
            </w:pPr>
            <w:r w:rsidRPr="006B2B1B">
              <w:rPr>
                <w:sz w:val="20"/>
              </w:rPr>
              <w:t>Self-Management</w:t>
            </w:r>
          </w:p>
          <w:p w:rsidR="006B2B1B" w:rsidRPr="00CF6AFC" w:rsidRDefault="006B2B1B" w:rsidP="008C6850">
            <w:pPr>
              <w:pStyle w:val="ListParagraph"/>
              <w:numPr>
                <w:ilvl w:val="0"/>
                <w:numId w:val="6"/>
              </w:numPr>
              <w:rPr>
                <w:sz w:val="20"/>
                <w:u w:val="single"/>
              </w:rPr>
            </w:pPr>
            <w:r w:rsidRPr="00CF6AFC">
              <w:rPr>
                <w:sz w:val="20"/>
                <w:u w:val="single"/>
              </w:rPr>
              <w:t>Research</w:t>
            </w:r>
          </w:p>
          <w:p w:rsidR="006B2B1B" w:rsidRPr="006B2B1B" w:rsidRDefault="006B2B1B" w:rsidP="008C6850">
            <w:pPr>
              <w:pStyle w:val="ListParagraph"/>
              <w:numPr>
                <w:ilvl w:val="0"/>
                <w:numId w:val="6"/>
              </w:numPr>
              <w:rPr>
                <w:sz w:val="20"/>
              </w:rPr>
            </w:pPr>
            <w:r w:rsidRPr="006B2B1B">
              <w:rPr>
                <w:sz w:val="20"/>
              </w:rPr>
              <w:t>Thinking</w:t>
            </w:r>
          </w:p>
          <w:p w:rsidR="006B2B1B" w:rsidRPr="006B2B1B" w:rsidRDefault="006B2B1B" w:rsidP="008C6850">
            <w:pPr>
              <w:pStyle w:val="ListParagraph"/>
              <w:numPr>
                <w:ilvl w:val="0"/>
                <w:numId w:val="6"/>
              </w:numPr>
              <w:rPr>
                <w:sz w:val="20"/>
              </w:rPr>
            </w:pPr>
            <w:r w:rsidRPr="006B2B1B">
              <w:rPr>
                <w:sz w:val="20"/>
              </w:rPr>
              <w:t>Social Skills</w:t>
            </w:r>
          </w:p>
          <w:p w:rsidR="006B2B1B" w:rsidRPr="006B2B1B" w:rsidRDefault="006B2B1B" w:rsidP="008C6850">
            <w:pPr>
              <w:pStyle w:val="ListParagraph"/>
              <w:numPr>
                <w:ilvl w:val="0"/>
                <w:numId w:val="6"/>
              </w:numPr>
              <w:rPr>
                <w:sz w:val="20"/>
              </w:rPr>
            </w:pPr>
            <w:r w:rsidRPr="006B2B1B">
              <w:rPr>
                <w:sz w:val="20"/>
              </w:rPr>
              <w:t>Communication</w:t>
            </w:r>
          </w:p>
        </w:tc>
        <w:tc>
          <w:tcPr>
            <w:tcW w:w="2160" w:type="dxa"/>
            <w:tcBorders>
              <w:right w:val="nil"/>
            </w:tcBorders>
            <w:shd w:val="clear" w:color="auto" w:fill="auto"/>
          </w:tcPr>
          <w:p w:rsidR="006B2B1B" w:rsidRPr="006B2B1B" w:rsidRDefault="006B2B1B" w:rsidP="008C6850">
            <w:pPr>
              <w:pStyle w:val="ListParagraph"/>
              <w:numPr>
                <w:ilvl w:val="0"/>
                <w:numId w:val="6"/>
              </w:numPr>
              <w:rPr>
                <w:sz w:val="20"/>
              </w:rPr>
            </w:pPr>
            <w:r w:rsidRPr="006B2B1B">
              <w:rPr>
                <w:sz w:val="20"/>
              </w:rPr>
              <w:t>Inquirers</w:t>
            </w:r>
          </w:p>
          <w:p w:rsidR="006B2B1B" w:rsidRPr="006B2B1B" w:rsidRDefault="006B2B1B" w:rsidP="008C6850">
            <w:pPr>
              <w:pStyle w:val="ListParagraph"/>
              <w:numPr>
                <w:ilvl w:val="0"/>
                <w:numId w:val="6"/>
              </w:numPr>
              <w:rPr>
                <w:sz w:val="20"/>
              </w:rPr>
            </w:pPr>
            <w:r w:rsidRPr="006B2B1B">
              <w:rPr>
                <w:sz w:val="20"/>
              </w:rPr>
              <w:t>Knowledgeable</w:t>
            </w:r>
          </w:p>
          <w:p w:rsidR="006B2B1B" w:rsidRPr="00CF6AFC" w:rsidRDefault="006B2B1B" w:rsidP="008C6850">
            <w:pPr>
              <w:pStyle w:val="ListParagraph"/>
              <w:numPr>
                <w:ilvl w:val="0"/>
                <w:numId w:val="6"/>
              </w:numPr>
              <w:rPr>
                <w:sz w:val="20"/>
                <w:u w:val="single"/>
              </w:rPr>
            </w:pPr>
            <w:r w:rsidRPr="00CF6AFC">
              <w:rPr>
                <w:sz w:val="20"/>
                <w:u w:val="single"/>
              </w:rPr>
              <w:t>Thinkers</w:t>
            </w:r>
          </w:p>
          <w:p w:rsidR="006B2B1B" w:rsidRPr="006B2B1B" w:rsidRDefault="006B2B1B" w:rsidP="008C6850">
            <w:pPr>
              <w:pStyle w:val="ListParagraph"/>
              <w:numPr>
                <w:ilvl w:val="0"/>
                <w:numId w:val="6"/>
              </w:numPr>
              <w:rPr>
                <w:sz w:val="20"/>
              </w:rPr>
            </w:pPr>
            <w:r w:rsidRPr="006B2B1B">
              <w:rPr>
                <w:sz w:val="20"/>
              </w:rPr>
              <w:t>Communicators</w:t>
            </w:r>
          </w:p>
          <w:p w:rsidR="006B2B1B" w:rsidRPr="006B2B1B" w:rsidRDefault="006B2B1B" w:rsidP="008C6850">
            <w:pPr>
              <w:pStyle w:val="ListParagraph"/>
              <w:numPr>
                <w:ilvl w:val="0"/>
                <w:numId w:val="6"/>
              </w:numPr>
              <w:rPr>
                <w:sz w:val="20"/>
              </w:rPr>
            </w:pPr>
            <w:r w:rsidRPr="006B2B1B">
              <w:rPr>
                <w:sz w:val="20"/>
              </w:rPr>
              <w:t>Principled</w:t>
            </w:r>
          </w:p>
        </w:tc>
        <w:tc>
          <w:tcPr>
            <w:tcW w:w="2070" w:type="dxa"/>
            <w:tcBorders>
              <w:left w:val="nil"/>
            </w:tcBorders>
            <w:shd w:val="clear" w:color="auto" w:fill="auto"/>
          </w:tcPr>
          <w:p w:rsidR="006B2B1B" w:rsidRPr="006B2B1B" w:rsidRDefault="006B2B1B" w:rsidP="008C6850">
            <w:pPr>
              <w:pStyle w:val="ListParagraph"/>
              <w:numPr>
                <w:ilvl w:val="0"/>
                <w:numId w:val="6"/>
              </w:numPr>
              <w:rPr>
                <w:sz w:val="20"/>
              </w:rPr>
            </w:pPr>
            <w:r w:rsidRPr="006B2B1B">
              <w:rPr>
                <w:sz w:val="20"/>
              </w:rPr>
              <w:t>Open-minded</w:t>
            </w:r>
          </w:p>
          <w:p w:rsidR="006B2B1B" w:rsidRPr="006B2B1B" w:rsidRDefault="006B2B1B" w:rsidP="008C6850">
            <w:pPr>
              <w:pStyle w:val="ListParagraph"/>
              <w:numPr>
                <w:ilvl w:val="0"/>
                <w:numId w:val="6"/>
              </w:numPr>
              <w:rPr>
                <w:sz w:val="20"/>
              </w:rPr>
            </w:pPr>
            <w:r w:rsidRPr="006B2B1B">
              <w:rPr>
                <w:sz w:val="20"/>
              </w:rPr>
              <w:t>Caring</w:t>
            </w:r>
          </w:p>
          <w:p w:rsidR="006B2B1B" w:rsidRPr="006B2B1B" w:rsidRDefault="006B2B1B" w:rsidP="008C6850">
            <w:pPr>
              <w:pStyle w:val="ListParagraph"/>
              <w:numPr>
                <w:ilvl w:val="0"/>
                <w:numId w:val="6"/>
              </w:numPr>
              <w:rPr>
                <w:sz w:val="20"/>
              </w:rPr>
            </w:pPr>
            <w:r w:rsidRPr="006B2B1B">
              <w:rPr>
                <w:sz w:val="20"/>
              </w:rPr>
              <w:t>Risk-takers</w:t>
            </w:r>
          </w:p>
          <w:p w:rsidR="006B2B1B" w:rsidRPr="006B2B1B" w:rsidRDefault="006B2B1B" w:rsidP="008C6850">
            <w:pPr>
              <w:pStyle w:val="ListParagraph"/>
              <w:numPr>
                <w:ilvl w:val="0"/>
                <w:numId w:val="6"/>
              </w:numPr>
              <w:rPr>
                <w:sz w:val="20"/>
              </w:rPr>
            </w:pPr>
            <w:r w:rsidRPr="006B2B1B">
              <w:rPr>
                <w:sz w:val="20"/>
              </w:rPr>
              <w:t>Balanced</w:t>
            </w:r>
          </w:p>
          <w:p w:rsidR="006B2B1B" w:rsidRPr="006B2B1B" w:rsidRDefault="006B2B1B" w:rsidP="008C6850">
            <w:pPr>
              <w:pStyle w:val="ListParagraph"/>
              <w:numPr>
                <w:ilvl w:val="0"/>
                <w:numId w:val="6"/>
              </w:numPr>
              <w:rPr>
                <w:sz w:val="20"/>
              </w:rPr>
            </w:pPr>
            <w:r w:rsidRPr="006B2B1B">
              <w:rPr>
                <w:sz w:val="20"/>
              </w:rPr>
              <w:t>Reflective</w:t>
            </w:r>
          </w:p>
        </w:tc>
        <w:tc>
          <w:tcPr>
            <w:tcW w:w="7389" w:type="dxa"/>
            <w:shd w:val="clear" w:color="auto" w:fill="auto"/>
          </w:tcPr>
          <w:p w:rsidR="00CF6AFC" w:rsidRDefault="00CF6AFC" w:rsidP="008C6850">
            <w:r>
              <w:t>Students will be responsible for choosing a country and collecting data on that country and then presenting their findings to the class. Students will need to be thinkers and use their critical thinking skills to understand how the different components of AD and AS combine to form a working economy.</w:t>
            </w:r>
          </w:p>
        </w:tc>
      </w:tr>
    </w:tbl>
    <w:p w:rsidR="004D50FD" w:rsidRDefault="004D50FD" w:rsidP="008C6850">
      <w:pPr>
        <w:spacing w:after="0" w:line="240" w:lineRule="auto"/>
      </w:pPr>
    </w:p>
    <w:p w:rsidR="00D06138" w:rsidRDefault="00D06138" w:rsidP="008C6850">
      <w:pPr>
        <w:spacing w:after="0" w:line="240" w:lineRule="auto"/>
      </w:pPr>
      <w:r>
        <w:rPr>
          <w:b/>
          <w:sz w:val="32"/>
        </w:rPr>
        <w:t>PART II</w:t>
      </w:r>
    </w:p>
    <w:p w:rsidR="00D06138" w:rsidRDefault="00D06138" w:rsidP="008C6850">
      <w:pPr>
        <w:spacing w:after="0" w:line="240" w:lineRule="auto"/>
      </w:pPr>
    </w:p>
    <w:tbl>
      <w:tblPr>
        <w:tblStyle w:val="TableGrid"/>
        <w:tblW w:w="0" w:type="auto"/>
        <w:tblLook w:val="04A0" w:firstRow="1" w:lastRow="0" w:firstColumn="1" w:lastColumn="0" w:noHBand="0" w:noVBand="1"/>
      </w:tblPr>
      <w:tblGrid>
        <w:gridCol w:w="13949"/>
      </w:tblGrid>
      <w:tr w:rsidR="00D06138" w:rsidTr="00D06138">
        <w:trPr>
          <w:trHeight w:val="413"/>
        </w:trPr>
        <w:tc>
          <w:tcPr>
            <w:tcW w:w="14157" w:type="dxa"/>
            <w:shd w:val="clear" w:color="auto" w:fill="auto"/>
          </w:tcPr>
          <w:p w:rsidR="00D06138" w:rsidRPr="009E6871" w:rsidRDefault="00D06138" w:rsidP="00D06138">
            <w:pPr>
              <w:rPr>
                <w:b/>
              </w:rPr>
            </w:pPr>
            <w:r>
              <w:rPr>
                <w:b/>
                <w:sz w:val="32"/>
              </w:rPr>
              <w:t>Approaches to Teaching</w:t>
            </w:r>
            <w:r>
              <w:rPr>
                <w:b/>
                <w:sz w:val="28"/>
              </w:rPr>
              <w:t xml:space="preserve"> </w:t>
            </w:r>
          </w:p>
        </w:tc>
      </w:tr>
      <w:tr w:rsidR="00D06138" w:rsidTr="00D06138">
        <w:tc>
          <w:tcPr>
            <w:tcW w:w="14157" w:type="dxa"/>
            <w:shd w:val="clear" w:color="auto" w:fill="auto"/>
          </w:tcPr>
          <w:p w:rsidR="00D06138" w:rsidRDefault="00D81B5F" w:rsidP="00D06138">
            <w:pPr>
              <w:rPr>
                <w:b/>
              </w:rPr>
            </w:pPr>
            <w:r>
              <w:rPr>
                <w:b/>
              </w:rPr>
              <w:t xml:space="preserve">How will teaching within this unit be grounded within the identified Approaches to Teaching </w:t>
            </w:r>
            <w:r w:rsidRPr="00D81B5F">
              <w:rPr>
                <w:b/>
              </w:rPr>
              <w:t>(teaching that is inquiry</w:t>
            </w:r>
            <w:r>
              <w:rPr>
                <w:b/>
              </w:rPr>
              <w:t xml:space="preserve"> </w:t>
            </w:r>
            <w:r w:rsidRPr="00D81B5F">
              <w:rPr>
                <w:b/>
              </w:rPr>
              <w:t>based, conceptually focused, contextualized, collaborative, differentiated and informed by assessment)</w:t>
            </w:r>
          </w:p>
          <w:p w:rsidR="00D06138" w:rsidRDefault="00D06138" w:rsidP="00D06138">
            <w:pPr>
              <w:rPr>
                <w:b/>
              </w:rPr>
            </w:pPr>
          </w:p>
          <w:p w:rsidR="00CF6AFC" w:rsidRPr="00CF6AFC" w:rsidRDefault="00CF6AFC" w:rsidP="00D06138">
            <w:r>
              <w:t>This unit is very much focused on teaching students to become independent researchers and thinkers, and getting students to become used to using statistical tools in order to conduct economic research. Formative assessment will be used on a regular basis to keep students focused on improving their skills, and the results if the assessments will also allow the teacher an opportunity to provide meaningful feedback to students.</w:t>
            </w:r>
          </w:p>
          <w:p w:rsidR="00D06138" w:rsidRDefault="00D06138" w:rsidP="00D06138">
            <w:pPr>
              <w:jc w:val="both"/>
            </w:pPr>
          </w:p>
        </w:tc>
      </w:tr>
    </w:tbl>
    <w:p w:rsidR="000A2288" w:rsidRDefault="000A2288" w:rsidP="008C6850">
      <w:pPr>
        <w:spacing w:after="0" w:line="240" w:lineRule="auto"/>
      </w:pPr>
    </w:p>
    <w:p w:rsidR="004D50FD" w:rsidRDefault="000A2288" w:rsidP="008C6850">
      <w:pPr>
        <w:spacing w:after="0" w:line="240" w:lineRule="auto"/>
      </w:pPr>
      <w:r>
        <w:t xml:space="preserve"> </w:t>
      </w:r>
    </w:p>
    <w:p w:rsidR="009E6871" w:rsidRPr="00347E98" w:rsidRDefault="009E6871" w:rsidP="008C6850">
      <w:pPr>
        <w:spacing w:after="0" w:line="240" w:lineRule="auto"/>
      </w:pPr>
    </w:p>
    <w:sectPr w:rsidR="009E6871" w:rsidRPr="00347E98" w:rsidSect="00F43E9E">
      <w:headerReference w:type="default" r:id="rId8"/>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9E" w:rsidRDefault="00C86E9E" w:rsidP="00F43E9E">
      <w:pPr>
        <w:spacing w:after="0" w:line="240" w:lineRule="auto"/>
      </w:pPr>
      <w:r>
        <w:separator/>
      </w:r>
    </w:p>
  </w:endnote>
  <w:endnote w:type="continuationSeparator" w:id="0">
    <w:p w:rsidR="00C86E9E" w:rsidRDefault="00C86E9E" w:rsidP="00F4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9E" w:rsidRDefault="00C86E9E" w:rsidP="00F43E9E">
      <w:pPr>
        <w:spacing w:after="0" w:line="240" w:lineRule="auto"/>
      </w:pPr>
      <w:r>
        <w:separator/>
      </w:r>
    </w:p>
  </w:footnote>
  <w:footnote w:type="continuationSeparator" w:id="0">
    <w:p w:rsidR="00C86E9E" w:rsidRDefault="00C86E9E" w:rsidP="00F4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831"/>
      <w:gridCol w:w="4068"/>
      <w:gridCol w:w="4443"/>
      <w:gridCol w:w="1394"/>
    </w:tblGrid>
    <w:tr w:rsidR="00D06138" w:rsidTr="000C3DA9">
      <w:trPr>
        <w:trHeight w:val="366"/>
      </w:trPr>
      <w:tc>
        <w:tcPr>
          <w:tcW w:w="1504" w:type="dxa"/>
          <w:vAlign w:val="center"/>
        </w:tcPr>
        <w:p w:rsidR="00D06138" w:rsidRPr="00347E98" w:rsidRDefault="00D06138" w:rsidP="00F43E9E">
          <w:pPr>
            <w:pStyle w:val="Header"/>
            <w:rPr>
              <w:sz w:val="36"/>
            </w:rPr>
          </w:pPr>
        </w:p>
      </w:tc>
      <w:tc>
        <w:tcPr>
          <w:tcW w:w="2831" w:type="dxa"/>
          <w:vAlign w:val="center"/>
        </w:tcPr>
        <w:p w:rsidR="00D06138" w:rsidRPr="00347E98" w:rsidRDefault="00D06138" w:rsidP="00EB6358">
          <w:pPr>
            <w:pStyle w:val="Header"/>
            <w:rPr>
              <w:sz w:val="36"/>
            </w:rPr>
          </w:pPr>
        </w:p>
      </w:tc>
      <w:tc>
        <w:tcPr>
          <w:tcW w:w="4068" w:type="dxa"/>
          <w:vAlign w:val="center"/>
        </w:tcPr>
        <w:p w:rsidR="00D06138" w:rsidRPr="00347E98" w:rsidRDefault="00D06138" w:rsidP="00F43E9E">
          <w:pPr>
            <w:pStyle w:val="Header"/>
            <w:jc w:val="center"/>
            <w:rPr>
              <w:sz w:val="36"/>
            </w:rPr>
          </w:pPr>
          <w:r w:rsidRPr="00347E98">
            <w:rPr>
              <w:sz w:val="36"/>
            </w:rPr>
            <w:t>IB Diploma Programme</w:t>
          </w:r>
        </w:p>
        <w:p w:rsidR="00D06138" w:rsidRPr="00347E98" w:rsidRDefault="00D06138" w:rsidP="00F43E9E">
          <w:pPr>
            <w:pStyle w:val="Header"/>
            <w:jc w:val="center"/>
            <w:rPr>
              <w:b/>
              <w:sz w:val="36"/>
            </w:rPr>
          </w:pPr>
          <w:r w:rsidRPr="00347E98">
            <w:rPr>
              <w:b/>
              <w:sz w:val="36"/>
            </w:rPr>
            <w:t>Unit Planner</w:t>
          </w:r>
        </w:p>
      </w:tc>
      <w:tc>
        <w:tcPr>
          <w:tcW w:w="4443" w:type="dxa"/>
          <w:vAlign w:val="center"/>
        </w:tcPr>
        <w:p w:rsidR="00D06138" w:rsidRPr="00347E98" w:rsidRDefault="00CF6AFC" w:rsidP="001B71A7">
          <w:pPr>
            <w:pStyle w:val="Header"/>
            <w:jc w:val="center"/>
            <w:rPr>
              <w:sz w:val="36"/>
            </w:rPr>
          </w:pPr>
          <w:r>
            <w:rPr>
              <w:sz w:val="36"/>
            </w:rPr>
            <w:t xml:space="preserve">                      </w:t>
          </w:r>
          <w:r w:rsidR="00D06138" w:rsidRPr="00347E98">
            <w:rPr>
              <w:sz w:val="36"/>
            </w:rPr>
            <w:t>IB</w:t>
          </w:r>
          <w:r w:rsidR="00D06138">
            <w:rPr>
              <w:sz w:val="36"/>
            </w:rPr>
            <w:t>DP</w:t>
          </w:r>
          <w:r>
            <w:rPr>
              <w:sz w:val="36"/>
            </w:rPr>
            <w:t xml:space="preserve"> </w:t>
          </w:r>
          <w:r>
            <w:rPr>
              <w:i/>
              <w:sz w:val="36"/>
            </w:rPr>
            <w:t>Economics</w:t>
          </w:r>
        </w:p>
      </w:tc>
      <w:tc>
        <w:tcPr>
          <w:tcW w:w="1394" w:type="dxa"/>
          <w:vAlign w:val="center"/>
        </w:tcPr>
        <w:p w:rsidR="00D06138" w:rsidRDefault="00D06138" w:rsidP="00F43E9E">
          <w:pPr>
            <w:pStyle w:val="Header"/>
            <w:jc w:val="center"/>
          </w:pPr>
        </w:p>
      </w:tc>
    </w:tr>
  </w:tbl>
  <w:p w:rsidR="00D06138" w:rsidRPr="00F43E9E" w:rsidRDefault="00D06138" w:rsidP="00F4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7E07"/>
    <w:multiLevelType w:val="hybridMultilevel"/>
    <w:tmpl w:val="6D220E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D9B5A77"/>
    <w:multiLevelType w:val="hybridMultilevel"/>
    <w:tmpl w:val="7F0A058E"/>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646F11"/>
    <w:multiLevelType w:val="hybridMultilevel"/>
    <w:tmpl w:val="792E55E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CB649AC"/>
    <w:multiLevelType w:val="hybridMultilevel"/>
    <w:tmpl w:val="FB5EC6B2"/>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FF60FCA"/>
    <w:multiLevelType w:val="hybridMultilevel"/>
    <w:tmpl w:val="F21A957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1D42788"/>
    <w:multiLevelType w:val="multilevel"/>
    <w:tmpl w:val="FB5EC6B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5310521E"/>
    <w:multiLevelType w:val="hybridMultilevel"/>
    <w:tmpl w:val="5D6EDC70"/>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41A2AF8"/>
    <w:multiLevelType w:val="hybridMultilevel"/>
    <w:tmpl w:val="6B2A828C"/>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69C5E69"/>
    <w:multiLevelType w:val="hybridMultilevel"/>
    <w:tmpl w:val="72D489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3421D8A"/>
    <w:multiLevelType w:val="hybridMultilevel"/>
    <w:tmpl w:val="A712DD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F090690"/>
    <w:multiLevelType w:val="hybridMultilevel"/>
    <w:tmpl w:val="FC7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0101E"/>
    <w:multiLevelType w:val="hybridMultilevel"/>
    <w:tmpl w:val="28BC198A"/>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CA51903"/>
    <w:multiLevelType w:val="hybridMultilevel"/>
    <w:tmpl w:val="58AE8E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11"/>
  </w:num>
  <w:num w:numId="4">
    <w:abstractNumId w:val="9"/>
  </w:num>
  <w:num w:numId="5">
    <w:abstractNumId w:val="7"/>
  </w:num>
  <w:num w:numId="6">
    <w:abstractNumId w:val="6"/>
  </w:num>
  <w:num w:numId="7">
    <w:abstractNumId w:val="4"/>
  </w:num>
  <w:num w:numId="8">
    <w:abstractNumId w:val="2"/>
  </w:num>
  <w:num w:numId="9">
    <w:abstractNumId w:val="12"/>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A2"/>
    <w:rsid w:val="000A2288"/>
    <w:rsid w:val="000C3DA9"/>
    <w:rsid w:val="00117E3F"/>
    <w:rsid w:val="001A07D7"/>
    <w:rsid w:val="001B71A7"/>
    <w:rsid w:val="001E6958"/>
    <w:rsid w:val="001F3AE0"/>
    <w:rsid w:val="00217D24"/>
    <w:rsid w:val="002565B1"/>
    <w:rsid w:val="00263D64"/>
    <w:rsid w:val="00266ABE"/>
    <w:rsid w:val="00273930"/>
    <w:rsid w:val="00294A18"/>
    <w:rsid w:val="002D713E"/>
    <w:rsid w:val="00347E98"/>
    <w:rsid w:val="003C4AF3"/>
    <w:rsid w:val="003F203E"/>
    <w:rsid w:val="004155BD"/>
    <w:rsid w:val="00416FCF"/>
    <w:rsid w:val="00426E7E"/>
    <w:rsid w:val="00432424"/>
    <w:rsid w:val="00432FE7"/>
    <w:rsid w:val="004346B6"/>
    <w:rsid w:val="004A2E36"/>
    <w:rsid w:val="004D50FD"/>
    <w:rsid w:val="005007CB"/>
    <w:rsid w:val="005319C2"/>
    <w:rsid w:val="005D5431"/>
    <w:rsid w:val="005F46AE"/>
    <w:rsid w:val="006451A6"/>
    <w:rsid w:val="00655B1E"/>
    <w:rsid w:val="00674A77"/>
    <w:rsid w:val="006B2B1B"/>
    <w:rsid w:val="006B66B6"/>
    <w:rsid w:val="006E463D"/>
    <w:rsid w:val="006F55AD"/>
    <w:rsid w:val="007278A6"/>
    <w:rsid w:val="00732309"/>
    <w:rsid w:val="00774BB8"/>
    <w:rsid w:val="007A27C1"/>
    <w:rsid w:val="007C790A"/>
    <w:rsid w:val="007D3340"/>
    <w:rsid w:val="007D73CD"/>
    <w:rsid w:val="007E6FDD"/>
    <w:rsid w:val="008669FA"/>
    <w:rsid w:val="008936C9"/>
    <w:rsid w:val="008A196C"/>
    <w:rsid w:val="008C6850"/>
    <w:rsid w:val="008C7983"/>
    <w:rsid w:val="0092154E"/>
    <w:rsid w:val="00956B66"/>
    <w:rsid w:val="00991B78"/>
    <w:rsid w:val="009C14A2"/>
    <w:rsid w:val="009E032B"/>
    <w:rsid w:val="009E6871"/>
    <w:rsid w:val="00A542FE"/>
    <w:rsid w:val="00A83C8D"/>
    <w:rsid w:val="00AB1381"/>
    <w:rsid w:val="00B80881"/>
    <w:rsid w:val="00B900C6"/>
    <w:rsid w:val="00BB7870"/>
    <w:rsid w:val="00BE7F68"/>
    <w:rsid w:val="00C2460C"/>
    <w:rsid w:val="00C26A2B"/>
    <w:rsid w:val="00C86E9E"/>
    <w:rsid w:val="00CA7EF4"/>
    <w:rsid w:val="00CB02C2"/>
    <w:rsid w:val="00CB5315"/>
    <w:rsid w:val="00CF6AFC"/>
    <w:rsid w:val="00D06138"/>
    <w:rsid w:val="00D81B5F"/>
    <w:rsid w:val="00DC420F"/>
    <w:rsid w:val="00E11C3A"/>
    <w:rsid w:val="00E53260"/>
    <w:rsid w:val="00EB6358"/>
    <w:rsid w:val="00ED1538"/>
    <w:rsid w:val="00EE08B6"/>
    <w:rsid w:val="00F132F5"/>
    <w:rsid w:val="00F43E9E"/>
    <w:rsid w:val="00FB6B6F"/>
    <w:rsid w:val="00FD3455"/>
    <w:rsid w:val="00FE677C"/>
    <w:rsid w:val="00FF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D02D46F-8950-4EF6-B30C-CA2E17DB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9E"/>
  </w:style>
  <w:style w:type="paragraph" w:styleId="Footer">
    <w:name w:val="footer"/>
    <w:basedOn w:val="Normal"/>
    <w:link w:val="FooterChar"/>
    <w:uiPriority w:val="99"/>
    <w:unhideWhenUsed/>
    <w:rsid w:val="00F4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9E"/>
  </w:style>
  <w:style w:type="table" w:styleId="TableGrid">
    <w:name w:val="Table Grid"/>
    <w:basedOn w:val="TableNormal"/>
    <w:uiPriority w:val="59"/>
    <w:rsid w:val="00F4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9E"/>
    <w:rPr>
      <w:rFonts w:ascii="Tahoma" w:hAnsi="Tahoma" w:cs="Tahoma"/>
      <w:sz w:val="16"/>
      <w:szCs w:val="16"/>
    </w:rPr>
  </w:style>
  <w:style w:type="character" w:styleId="Hyperlink">
    <w:name w:val="Hyperlink"/>
    <w:basedOn w:val="DefaultParagraphFont"/>
    <w:uiPriority w:val="99"/>
    <w:unhideWhenUsed/>
    <w:rsid w:val="003C4AF3"/>
    <w:rPr>
      <w:color w:val="0000FF" w:themeColor="hyperlink"/>
      <w:u w:val="single"/>
    </w:rPr>
  </w:style>
  <w:style w:type="paragraph" w:styleId="ListParagraph">
    <w:name w:val="List Paragraph"/>
    <w:basedOn w:val="Normal"/>
    <w:uiPriority w:val="34"/>
    <w:qFormat/>
    <w:rsid w:val="00BE7F68"/>
    <w:pPr>
      <w:ind w:left="720"/>
    </w:pPr>
  </w:style>
  <w:style w:type="character" w:styleId="FollowedHyperlink">
    <w:name w:val="FollowedHyperlink"/>
    <w:basedOn w:val="DefaultParagraphFont"/>
    <w:uiPriority w:val="99"/>
    <w:semiHidden/>
    <w:unhideWhenUsed/>
    <w:rsid w:val="004346B6"/>
    <w:rPr>
      <w:color w:val="800080" w:themeColor="followedHyperlink"/>
      <w:u w:val="single"/>
    </w:rPr>
  </w:style>
  <w:style w:type="paragraph" w:customStyle="1" w:styleId="Notebody">
    <w:name w:val="Note body"/>
    <w:basedOn w:val="Normal"/>
    <w:link w:val="NotebodyChar"/>
    <w:rsid w:val="009C14A2"/>
    <w:pPr>
      <w:tabs>
        <w:tab w:val="left" w:pos="454"/>
        <w:tab w:val="left" w:pos="907"/>
        <w:tab w:val="left" w:pos="1361"/>
        <w:tab w:val="left" w:pos="1814"/>
      </w:tabs>
      <w:spacing w:after="120" w:line="240" w:lineRule="auto"/>
      <w:jc w:val="both"/>
    </w:pPr>
    <w:rPr>
      <w:rFonts w:ascii="Arial" w:eastAsia="Times New Roman" w:hAnsi="Arial" w:cs="Times New Roman"/>
      <w:color w:val="808080"/>
      <w:sz w:val="16"/>
      <w:szCs w:val="20"/>
      <w:lang w:val="en-GB"/>
    </w:rPr>
  </w:style>
  <w:style w:type="character" w:customStyle="1" w:styleId="NotebodyChar">
    <w:name w:val="Note body Char"/>
    <w:link w:val="Notebody"/>
    <w:rsid w:val="009C14A2"/>
    <w:rPr>
      <w:rFonts w:ascii="Arial" w:eastAsia="Times New Roman" w:hAnsi="Arial" w:cs="Times New Roman"/>
      <w:color w:val="808080"/>
      <w:sz w:val="16"/>
      <w:szCs w:val="20"/>
      <w:lang w:val="en-GB"/>
    </w:rPr>
  </w:style>
  <w:style w:type="paragraph" w:styleId="NoSpacing">
    <w:name w:val="No Spacing"/>
    <w:uiPriority w:val="1"/>
    <w:qFormat/>
    <w:rsid w:val="009C14A2"/>
    <w:pPr>
      <w:tabs>
        <w:tab w:val="left" w:pos="454"/>
        <w:tab w:val="left" w:pos="907"/>
        <w:tab w:val="left" w:pos="1361"/>
        <w:tab w:val="left" w:pos="1814"/>
      </w:tabs>
      <w:spacing w:after="0" w:line="240" w:lineRule="auto"/>
    </w:pPr>
    <w:rPr>
      <w:rFonts w:ascii="Arial" w:eastAsia="Times New Roman" w:hAnsi="Arial" w:cs="Times New Roman"/>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P\Unit%20Planners\DP%20Unit%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1323-67D7-42DA-9049-AEB152DE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Unit Planner Template</Template>
  <TotalTime>0</TotalTime>
  <Pages>3</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Mitchell</dc:creator>
  <cp:keywords/>
  <dc:description/>
  <cp:lastModifiedBy>Steve Ellis</cp:lastModifiedBy>
  <cp:revision>2</cp:revision>
  <cp:lastPrinted>2009-10-31T04:56:00Z</cp:lastPrinted>
  <dcterms:created xsi:type="dcterms:W3CDTF">2016-10-25T03:53:00Z</dcterms:created>
  <dcterms:modified xsi:type="dcterms:W3CDTF">2016-10-25T03:53:00Z</dcterms:modified>
</cp:coreProperties>
</file>